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373DCA" w14:textId="77777777" w:rsidR="002D1216" w:rsidRPr="00CD2F5C" w:rsidRDefault="002D1216" w:rsidP="002D1216">
      <w:pPr>
        <w:spacing w:line="240" w:lineRule="auto"/>
        <w:contextualSpacing/>
        <w:rPr>
          <w:rFonts w:ascii="Cambria" w:eastAsia="Calibri" w:hAnsi="Cambria" w:cs="Times New Roman"/>
          <w:sz w:val="24"/>
          <w:szCs w:val="24"/>
        </w:rPr>
      </w:pPr>
      <w:bookmarkStart w:id="0" w:name="_Hlk181860400"/>
    </w:p>
    <w:p w14:paraId="6A4A4406"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3E208B9F" w14:textId="77777777" w:rsidR="002D1216" w:rsidRPr="00CD2F5C" w:rsidRDefault="002D1216" w:rsidP="002D1216">
      <w:pPr>
        <w:spacing w:line="360" w:lineRule="auto"/>
        <w:contextualSpacing/>
        <w:jc w:val="center"/>
        <w:rPr>
          <w:rFonts w:ascii="Cambria" w:eastAsia="Calibri" w:hAnsi="Cambria" w:cs="Times New Roman"/>
          <w:b/>
          <w:bCs/>
          <w:sz w:val="28"/>
          <w:szCs w:val="28"/>
        </w:rPr>
      </w:pPr>
      <w:r w:rsidRPr="00CD2F5C">
        <w:rPr>
          <w:rFonts w:ascii="Cambria" w:eastAsia="Calibri" w:hAnsi="Cambria" w:cs="Times New Roman"/>
          <w:b/>
          <w:bCs/>
          <w:sz w:val="28"/>
          <w:szCs w:val="28"/>
        </w:rPr>
        <w:t>UNIVERSITY OF STIRLING</w:t>
      </w:r>
    </w:p>
    <w:p w14:paraId="01992CC1" w14:textId="77777777" w:rsidR="002D1216" w:rsidRPr="00CD2F5C" w:rsidRDefault="002D1216" w:rsidP="002D1216">
      <w:pPr>
        <w:spacing w:line="360" w:lineRule="auto"/>
        <w:contextualSpacing/>
        <w:jc w:val="center"/>
        <w:rPr>
          <w:rFonts w:ascii="Cambria" w:eastAsia="Calibri" w:hAnsi="Cambria" w:cs="Times New Roman"/>
          <w:sz w:val="24"/>
          <w:szCs w:val="24"/>
        </w:rPr>
      </w:pPr>
      <w:r w:rsidRPr="00CD2F5C">
        <w:rPr>
          <w:rFonts w:ascii="Cambria" w:eastAsia="Calibri" w:hAnsi="Cambria" w:cs="Times New Roman"/>
          <w:sz w:val="24"/>
          <w:szCs w:val="24"/>
        </w:rPr>
        <w:t>Stirling, Scotland</w:t>
      </w:r>
    </w:p>
    <w:p w14:paraId="6C56A15B"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52791792"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0A8A16A2"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6E92E91D"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1505FA72" w14:textId="77777777" w:rsidR="002D1216" w:rsidRPr="00CD2F5C" w:rsidRDefault="002D1216" w:rsidP="002D1216">
      <w:pPr>
        <w:spacing w:line="240" w:lineRule="auto"/>
        <w:contextualSpacing/>
        <w:jc w:val="center"/>
        <w:rPr>
          <w:rFonts w:ascii="Cambria" w:eastAsia="Calibri" w:hAnsi="Cambria" w:cs="Times New Roman"/>
          <w:sz w:val="24"/>
          <w:szCs w:val="24"/>
        </w:rPr>
      </w:pPr>
      <w:bookmarkStart w:id="1" w:name="_Hlk158835346"/>
      <w:r w:rsidRPr="00CD2F5C">
        <w:rPr>
          <w:rFonts w:ascii="Cambria" w:eastAsia="Calibri" w:hAnsi="Cambria" w:cs="Times New Roman"/>
          <w:sz w:val="24"/>
          <w:szCs w:val="24"/>
        </w:rPr>
        <w:t xml:space="preserve">The relationship between early life trauma, anxiety, and the experience of chronic pain in adulthood, and the role of inflammatory biomarker C-reactive protein </w:t>
      </w:r>
    </w:p>
    <w:bookmarkEnd w:id="1"/>
    <w:p w14:paraId="21659319"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50C8FBF3"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49767943" w14:textId="77777777" w:rsidR="002D1216" w:rsidRPr="00CD2F5C" w:rsidRDefault="002D1216" w:rsidP="002D1216">
      <w:pPr>
        <w:spacing w:line="240" w:lineRule="auto"/>
        <w:contextualSpacing/>
        <w:jc w:val="center"/>
        <w:rPr>
          <w:rFonts w:ascii="Cambria" w:eastAsia="Cambria" w:hAnsi="Cambria" w:cs="Cambria"/>
          <w:sz w:val="24"/>
          <w:szCs w:val="24"/>
        </w:rPr>
      </w:pPr>
      <w:r w:rsidRPr="00CD2F5C">
        <w:rPr>
          <w:rFonts w:ascii="Cambria" w:eastAsia="Calibri" w:hAnsi="Cambria" w:cs="Times New Roman"/>
          <w:sz w:val="24"/>
          <w:szCs w:val="24"/>
        </w:rPr>
        <w:t>Thesis</w:t>
      </w:r>
    </w:p>
    <w:p w14:paraId="6116CCF7"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42C20077"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27989BD1" w14:textId="77777777" w:rsidR="002D1216" w:rsidRPr="00CD2F5C" w:rsidRDefault="002D1216" w:rsidP="002D1216">
      <w:pPr>
        <w:spacing w:line="240" w:lineRule="auto"/>
        <w:contextualSpacing/>
        <w:jc w:val="center"/>
        <w:rPr>
          <w:rFonts w:ascii="Cambria" w:eastAsia="Calibri" w:hAnsi="Cambria" w:cs="Times New Roman"/>
          <w:sz w:val="24"/>
          <w:szCs w:val="24"/>
        </w:rPr>
      </w:pPr>
      <w:r w:rsidRPr="00CD2F5C">
        <w:rPr>
          <w:rFonts w:ascii="Cambria" w:eastAsia="Calibri" w:hAnsi="Cambria" w:cs="Times New Roman"/>
          <w:sz w:val="24"/>
          <w:szCs w:val="24"/>
        </w:rPr>
        <w:t>submitted for the requirements</w:t>
      </w:r>
    </w:p>
    <w:p w14:paraId="249E5873" w14:textId="77777777" w:rsidR="002D1216" w:rsidRPr="00CD2F5C" w:rsidRDefault="002D1216" w:rsidP="002D1216">
      <w:pPr>
        <w:spacing w:line="240" w:lineRule="auto"/>
        <w:contextualSpacing/>
        <w:jc w:val="center"/>
        <w:rPr>
          <w:rFonts w:ascii="Cambria" w:eastAsia="Calibri" w:hAnsi="Cambria" w:cs="Times New Roman"/>
          <w:sz w:val="24"/>
          <w:szCs w:val="24"/>
        </w:rPr>
      </w:pPr>
      <w:r w:rsidRPr="00CD2F5C">
        <w:rPr>
          <w:rFonts w:ascii="Cambria" w:eastAsia="Calibri" w:hAnsi="Cambria" w:cs="Times New Roman"/>
          <w:sz w:val="24"/>
          <w:szCs w:val="24"/>
        </w:rPr>
        <w:t>of a Doctor of Philosophy in Health Sciences</w:t>
      </w:r>
    </w:p>
    <w:p w14:paraId="69B3FE1B"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392832D7" w14:textId="77777777" w:rsidR="002D1216" w:rsidRPr="00CD2F5C" w:rsidRDefault="002D1216" w:rsidP="002D1216">
      <w:pPr>
        <w:spacing w:line="240" w:lineRule="auto"/>
        <w:contextualSpacing/>
        <w:jc w:val="center"/>
        <w:rPr>
          <w:rFonts w:ascii="Cambria" w:eastAsia="Calibri" w:hAnsi="Cambria" w:cs="Times New Roman"/>
          <w:sz w:val="24"/>
          <w:szCs w:val="24"/>
        </w:rPr>
      </w:pPr>
      <w:r w:rsidRPr="00CD2F5C">
        <w:rPr>
          <w:rFonts w:ascii="Cambria" w:eastAsia="Calibri" w:hAnsi="Cambria" w:cs="Times New Roman"/>
          <w:sz w:val="24"/>
          <w:szCs w:val="24"/>
        </w:rPr>
        <w:t xml:space="preserve">by </w:t>
      </w:r>
    </w:p>
    <w:p w14:paraId="5633448F"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07DA15B8"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547FD94F" w14:textId="77777777" w:rsidR="002D1216" w:rsidRPr="00CD2F5C" w:rsidRDefault="002D1216" w:rsidP="002D1216">
      <w:pPr>
        <w:spacing w:line="240" w:lineRule="auto"/>
        <w:contextualSpacing/>
        <w:jc w:val="center"/>
        <w:rPr>
          <w:rFonts w:ascii="Cambria" w:eastAsia="Calibri" w:hAnsi="Cambria" w:cs="Times New Roman"/>
          <w:sz w:val="24"/>
          <w:szCs w:val="24"/>
        </w:rPr>
      </w:pPr>
      <w:r w:rsidRPr="00CD2F5C">
        <w:rPr>
          <w:rFonts w:ascii="Cambria" w:eastAsia="Calibri" w:hAnsi="Cambria" w:cs="Times New Roman"/>
          <w:sz w:val="24"/>
          <w:szCs w:val="24"/>
        </w:rPr>
        <w:t>Danielle E. Dalechek</w:t>
      </w:r>
    </w:p>
    <w:p w14:paraId="47C07EA5"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3EC75CB4"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013C3A4A"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7E94D4A3"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2EAE746B"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75B4EDFB"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391AB078"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4FF0AFDA"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5F972A3E"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453C6384"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38C2945F"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1BC2DD0D" w14:textId="77777777" w:rsidR="002D1216" w:rsidRPr="00CD2F5C" w:rsidRDefault="002D1216" w:rsidP="002D1216">
      <w:pPr>
        <w:spacing w:line="240" w:lineRule="auto"/>
        <w:contextualSpacing/>
        <w:jc w:val="right"/>
        <w:rPr>
          <w:rFonts w:ascii="Cambria" w:eastAsia="Calibri" w:hAnsi="Cambria" w:cs="Times New Roman"/>
          <w:b/>
          <w:bCs/>
          <w:sz w:val="24"/>
          <w:szCs w:val="24"/>
        </w:rPr>
      </w:pPr>
      <w:r w:rsidRPr="00CD2F5C">
        <w:rPr>
          <w:rFonts w:ascii="Cambria" w:eastAsia="Calibri" w:hAnsi="Cambria" w:cs="Times New Roman"/>
          <w:b/>
          <w:bCs/>
          <w:sz w:val="24"/>
          <w:szCs w:val="24"/>
        </w:rPr>
        <w:t>Supervision team:</w:t>
      </w:r>
    </w:p>
    <w:p w14:paraId="1DA6FBB7" w14:textId="77777777" w:rsidR="002D1216" w:rsidRPr="00CD2F5C" w:rsidRDefault="002D1216" w:rsidP="002D1216">
      <w:pPr>
        <w:spacing w:line="240" w:lineRule="auto"/>
        <w:contextualSpacing/>
        <w:jc w:val="right"/>
        <w:rPr>
          <w:rFonts w:ascii="Cambria" w:eastAsia="Calibri" w:hAnsi="Cambria" w:cs="Times New Roman"/>
          <w:sz w:val="24"/>
          <w:szCs w:val="24"/>
        </w:rPr>
      </w:pPr>
      <w:r w:rsidRPr="00CD2F5C">
        <w:rPr>
          <w:rFonts w:ascii="Cambria" w:eastAsia="Calibri" w:hAnsi="Cambria" w:cs="Times New Roman"/>
          <w:sz w:val="24"/>
          <w:szCs w:val="24"/>
        </w:rPr>
        <w:t>Anna C. Whittaker</w:t>
      </w:r>
    </w:p>
    <w:p w14:paraId="2A13539A" w14:textId="77777777" w:rsidR="002D1216" w:rsidRPr="00CD2F5C" w:rsidRDefault="002D1216" w:rsidP="002D1216">
      <w:pPr>
        <w:spacing w:line="240" w:lineRule="auto"/>
        <w:contextualSpacing/>
        <w:jc w:val="right"/>
        <w:rPr>
          <w:rFonts w:ascii="Cambria" w:eastAsia="Calibri" w:hAnsi="Cambria" w:cs="Times New Roman"/>
          <w:sz w:val="24"/>
          <w:szCs w:val="24"/>
        </w:rPr>
      </w:pPr>
      <w:r w:rsidRPr="00CD2F5C">
        <w:rPr>
          <w:rFonts w:ascii="Cambria" w:eastAsia="Calibri" w:hAnsi="Cambria" w:cs="Times New Roman"/>
          <w:sz w:val="24"/>
          <w:szCs w:val="24"/>
        </w:rPr>
        <w:t xml:space="preserve">Line </w:t>
      </w:r>
      <w:proofErr w:type="spellStart"/>
      <w:r w:rsidRPr="00CD2F5C">
        <w:rPr>
          <w:rFonts w:ascii="Cambria" w:eastAsia="Calibri" w:hAnsi="Cambria" w:cs="Times New Roman"/>
          <w:sz w:val="24"/>
          <w:szCs w:val="24"/>
        </w:rPr>
        <w:t>Caes</w:t>
      </w:r>
      <w:proofErr w:type="spellEnd"/>
    </w:p>
    <w:p w14:paraId="427B16A8" w14:textId="77777777" w:rsidR="002D1216" w:rsidRPr="00CD2F5C" w:rsidRDefault="002D1216" w:rsidP="002D1216">
      <w:pPr>
        <w:spacing w:line="240" w:lineRule="auto"/>
        <w:contextualSpacing/>
        <w:jc w:val="right"/>
        <w:rPr>
          <w:rFonts w:ascii="Cambria" w:eastAsia="Calibri" w:hAnsi="Cambria" w:cs="Times New Roman"/>
          <w:sz w:val="24"/>
          <w:szCs w:val="24"/>
        </w:rPr>
      </w:pPr>
      <w:r w:rsidRPr="00CD2F5C">
        <w:rPr>
          <w:rFonts w:ascii="Cambria" w:eastAsia="Calibri" w:hAnsi="Cambria" w:cs="Times New Roman"/>
          <w:sz w:val="24"/>
          <w:szCs w:val="24"/>
        </w:rPr>
        <w:t>Gwenne McIntosh</w:t>
      </w:r>
    </w:p>
    <w:p w14:paraId="07211176"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1AA79AF6"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2AF08099"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67822E05"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082C57C0" w14:textId="572F3860" w:rsidR="002D1216" w:rsidRPr="00CD2F5C" w:rsidRDefault="00111B9D" w:rsidP="002D1216">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28</w:t>
      </w:r>
      <w:r w:rsidR="002D1216" w:rsidRPr="00CD2F5C">
        <w:rPr>
          <w:rFonts w:ascii="Cambria" w:eastAsia="Calibri" w:hAnsi="Cambria" w:cs="Times New Roman"/>
          <w:sz w:val="24"/>
          <w:szCs w:val="24"/>
        </w:rPr>
        <w:t xml:space="preserve"> June 2024</w:t>
      </w:r>
    </w:p>
    <w:p w14:paraId="282F23BD" w14:textId="77777777" w:rsidR="002D1216" w:rsidRPr="00CD2F5C" w:rsidRDefault="002D1216" w:rsidP="002D1216">
      <w:pPr>
        <w:spacing w:line="240" w:lineRule="auto"/>
        <w:contextualSpacing/>
        <w:rPr>
          <w:rFonts w:ascii="Cambria" w:eastAsia="Calibri" w:hAnsi="Cambria" w:cs="Times New Roman"/>
          <w:sz w:val="24"/>
          <w:szCs w:val="24"/>
        </w:rPr>
        <w:sectPr w:rsidR="002D1216" w:rsidRPr="00CD2F5C" w:rsidSect="002D1216">
          <w:headerReference w:type="first" r:id="rId11"/>
          <w:footerReference w:type="first" r:id="rId12"/>
          <w:pgSz w:w="12240" w:h="15840"/>
          <w:pgMar w:top="1440" w:right="1440" w:bottom="1440" w:left="1440" w:header="720" w:footer="720" w:gutter="0"/>
          <w:pgNumType w:fmt="lowerRoman" w:start="2" w:chapStyle="1"/>
          <w:cols w:space="720"/>
          <w:titlePg/>
          <w:docGrid w:linePitch="360"/>
        </w:sectPr>
      </w:pPr>
    </w:p>
    <w:p w14:paraId="337ACBF9" w14:textId="77777777" w:rsidR="002D1216" w:rsidRPr="00CD2F5C" w:rsidRDefault="002D1216" w:rsidP="00B93217">
      <w:pPr>
        <w:pStyle w:val="Heading11"/>
        <w:jc w:val="center"/>
        <w:rPr>
          <w:rFonts w:eastAsia="Calibri"/>
        </w:rPr>
      </w:pPr>
      <w:bookmarkStart w:id="2" w:name="_Toc181362872"/>
      <w:r w:rsidRPr="00CD2F5C">
        <w:rPr>
          <w:rFonts w:eastAsia="Calibri"/>
        </w:rPr>
        <w:lastRenderedPageBreak/>
        <w:t>DEDICATION</w:t>
      </w:r>
      <w:bookmarkEnd w:id="2"/>
    </w:p>
    <w:p w14:paraId="08EFDFC9" w14:textId="77777777" w:rsidR="002D1216" w:rsidRPr="00CD2F5C" w:rsidRDefault="002D1216" w:rsidP="002D1216">
      <w:pPr>
        <w:spacing w:line="240" w:lineRule="auto"/>
        <w:contextualSpacing/>
        <w:jc w:val="center"/>
        <w:rPr>
          <w:rFonts w:ascii="Cambria" w:eastAsia="Calibri" w:hAnsi="Cambria" w:cs="Times New Roman"/>
          <w:b/>
          <w:sz w:val="28"/>
          <w:szCs w:val="28"/>
        </w:rPr>
      </w:pPr>
    </w:p>
    <w:p w14:paraId="7568CAB4"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50354D6E"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27E8607C" w14:textId="77777777" w:rsidR="002D1216" w:rsidRPr="00CD2F5C" w:rsidRDefault="002D1216" w:rsidP="002D1216">
      <w:pPr>
        <w:spacing w:line="240" w:lineRule="auto"/>
        <w:contextualSpacing/>
        <w:jc w:val="center"/>
        <w:rPr>
          <w:rFonts w:ascii="Cambria" w:eastAsia="Calibri" w:hAnsi="Cambria" w:cs="Times New Roman"/>
          <w:sz w:val="24"/>
          <w:szCs w:val="24"/>
        </w:rPr>
      </w:pPr>
    </w:p>
    <w:p w14:paraId="5A46A896" w14:textId="6245F938" w:rsidR="00111B9D" w:rsidRPr="00CD2F5C" w:rsidRDefault="00AB4622" w:rsidP="002D1216">
      <w:pPr>
        <w:spacing w:line="240" w:lineRule="auto"/>
        <w:contextualSpacing/>
        <w:jc w:val="center"/>
        <w:rPr>
          <w:rFonts w:ascii="Cambria" w:eastAsia="Calibri" w:hAnsi="Cambria" w:cs="Times New Roman"/>
          <w:i/>
          <w:sz w:val="24"/>
          <w:szCs w:val="24"/>
        </w:rPr>
      </w:pPr>
      <w:r>
        <w:rPr>
          <w:rFonts w:ascii="Cambria" w:eastAsia="Calibri" w:hAnsi="Cambria" w:cs="Times New Roman"/>
          <w:sz w:val="24"/>
          <w:szCs w:val="24"/>
        </w:rPr>
        <w:t xml:space="preserve">Dedicated to every child who didn’t choose to become an adult survivor, and for every safe adult who spoke up or stepped in. May we all become who we needed when we were younger. And if we didn’t need anyone, may we be that safe adult for someone else. </w:t>
      </w:r>
    </w:p>
    <w:p w14:paraId="378A23A3" w14:textId="77777777" w:rsidR="002D1216" w:rsidRPr="00CD2F5C" w:rsidRDefault="002D1216" w:rsidP="002D1216">
      <w:pPr>
        <w:spacing w:line="240" w:lineRule="auto"/>
        <w:contextualSpacing/>
        <w:jc w:val="center"/>
        <w:rPr>
          <w:rFonts w:ascii="Cambria" w:eastAsia="Calibri" w:hAnsi="Cambria" w:cs="Times New Roman"/>
          <w:i/>
          <w:sz w:val="24"/>
          <w:szCs w:val="24"/>
        </w:rPr>
      </w:pPr>
    </w:p>
    <w:p w14:paraId="498606F8" w14:textId="77777777" w:rsidR="002D1216" w:rsidRPr="00CD2F5C" w:rsidRDefault="002D1216" w:rsidP="002D1216">
      <w:pPr>
        <w:spacing w:line="240" w:lineRule="auto"/>
        <w:contextualSpacing/>
        <w:jc w:val="center"/>
        <w:rPr>
          <w:rFonts w:ascii="Cambria" w:eastAsia="Calibri" w:hAnsi="Cambria" w:cs="Times New Roman"/>
          <w:i/>
          <w:sz w:val="24"/>
          <w:szCs w:val="24"/>
        </w:rPr>
      </w:pPr>
    </w:p>
    <w:p w14:paraId="35C6415E" w14:textId="77777777" w:rsidR="002D1216" w:rsidRPr="00CD2F5C" w:rsidRDefault="002D1216" w:rsidP="002D1216">
      <w:pPr>
        <w:spacing w:line="240" w:lineRule="auto"/>
        <w:contextualSpacing/>
        <w:jc w:val="center"/>
        <w:rPr>
          <w:rFonts w:ascii="Cambria" w:eastAsia="Calibri" w:hAnsi="Cambria" w:cs="Times New Roman"/>
          <w:i/>
          <w:sz w:val="24"/>
          <w:szCs w:val="24"/>
        </w:rPr>
      </w:pPr>
    </w:p>
    <w:p w14:paraId="11C694DC" w14:textId="77777777" w:rsidR="002D1216" w:rsidRPr="00CD2F5C" w:rsidRDefault="002D1216" w:rsidP="002D1216">
      <w:pPr>
        <w:spacing w:line="240" w:lineRule="auto"/>
        <w:contextualSpacing/>
        <w:jc w:val="center"/>
        <w:rPr>
          <w:rFonts w:ascii="Cambria" w:eastAsia="Calibri" w:hAnsi="Cambria" w:cs="Times New Roman"/>
          <w:i/>
          <w:sz w:val="24"/>
          <w:szCs w:val="24"/>
        </w:rPr>
      </w:pPr>
    </w:p>
    <w:p w14:paraId="0A496A02" w14:textId="77777777" w:rsidR="002D1216" w:rsidRPr="00CD2F5C" w:rsidRDefault="002D1216" w:rsidP="002D1216">
      <w:pPr>
        <w:spacing w:line="240" w:lineRule="auto"/>
        <w:contextualSpacing/>
        <w:jc w:val="center"/>
        <w:rPr>
          <w:rFonts w:ascii="Cambria" w:eastAsia="Calibri" w:hAnsi="Cambria" w:cs="Times New Roman"/>
          <w:i/>
          <w:sz w:val="24"/>
          <w:szCs w:val="24"/>
        </w:rPr>
      </w:pPr>
    </w:p>
    <w:p w14:paraId="3D74770A" w14:textId="77777777" w:rsidR="002D1216" w:rsidRPr="00CD2F5C" w:rsidRDefault="002D1216" w:rsidP="002D1216">
      <w:pPr>
        <w:spacing w:line="240" w:lineRule="auto"/>
        <w:contextualSpacing/>
        <w:jc w:val="center"/>
        <w:rPr>
          <w:rFonts w:ascii="Cambria" w:eastAsia="Calibri" w:hAnsi="Cambria" w:cs="Times New Roman"/>
          <w:i/>
          <w:sz w:val="24"/>
          <w:szCs w:val="24"/>
        </w:rPr>
      </w:pPr>
    </w:p>
    <w:p w14:paraId="380789D5" w14:textId="77777777" w:rsidR="002D1216" w:rsidRPr="00CD2F5C" w:rsidRDefault="002D1216" w:rsidP="002D1216">
      <w:pPr>
        <w:rPr>
          <w:rFonts w:ascii="Cambria" w:eastAsia="Calibri" w:hAnsi="Cambria" w:cs="Times New Roman"/>
          <w:b/>
          <w:sz w:val="28"/>
          <w:szCs w:val="28"/>
        </w:rPr>
      </w:pPr>
      <w:r w:rsidRPr="00CD2F5C">
        <w:rPr>
          <w:rFonts w:ascii="Cambria" w:eastAsia="Calibri" w:hAnsi="Cambria" w:cs="Times New Roman"/>
          <w:b/>
          <w:bCs/>
          <w:sz w:val="28"/>
          <w:szCs w:val="28"/>
        </w:rPr>
        <w:br w:type="page"/>
      </w:r>
    </w:p>
    <w:p w14:paraId="649DB867" w14:textId="3176C804" w:rsidR="002D1216" w:rsidRPr="00CD2F5C" w:rsidRDefault="002D1216" w:rsidP="002B0F75">
      <w:pPr>
        <w:pStyle w:val="Heading11"/>
        <w:jc w:val="center"/>
        <w:rPr>
          <w:rFonts w:ascii="Cambria" w:eastAsia="Calibri" w:hAnsi="Cambria" w:cs="Calibri"/>
          <w:b/>
          <w:bCs/>
          <w:sz w:val="28"/>
          <w:szCs w:val="28"/>
        </w:rPr>
      </w:pPr>
      <w:bookmarkStart w:id="3" w:name="_Toc181362873"/>
      <w:r w:rsidRPr="13B33B62">
        <w:rPr>
          <w:rFonts w:eastAsia="Calibri"/>
        </w:rPr>
        <w:lastRenderedPageBreak/>
        <w:t>ABSTRACT</w:t>
      </w:r>
      <w:bookmarkEnd w:id="3"/>
    </w:p>
    <w:p w14:paraId="442EC740" w14:textId="06E5AE9D" w:rsidR="002D1216" w:rsidRPr="00CD2F5C" w:rsidRDefault="179D8B01" w:rsidP="00225BEB">
      <w:pPr>
        <w:rPr>
          <w:rFonts w:ascii="Cambria" w:eastAsia="Calibri" w:hAnsi="Cambria" w:cs="Times New Roman"/>
          <w:b/>
          <w:sz w:val="28"/>
          <w:szCs w:val="28"/>
        </w:rPr>
      </w:pPr>
      <w:r w:rsidRPr="13B33B62">
        <w:rPr>
          <w:rFonts w:ascii="Cambria" w:eastAsia="Calibri" w:hAnsi="Cambria" w:cs="Calibri"/>
          <w:sz w:val="24"/>
          <w:szCs w:val="24"/>
        </w:rPr>
        <w:t>When investigating factors that may relate to chronic pain experiences in adulthood, adverse childhood experiences (ACEs) and anxiety should be considered as important contributors. However, evidence of these associations is scattered</w:t>
      </w:r>
      <w:r w:rsidR="00D86458">
        <w:rPr>
          <w:rFonts w:ascii="Cambria" w:eastAsia="Calibri" w:hAnsi="Cambria" w:cs="Calibri"/>
          <w:sz w:val="24"/>
          <w:szCs w:val="24"/>
        </w:rPr>
        <w:t>,</w:t>
      </w:r>
      <w:r w:rsidRPr="13B33B62">
        <w:rPr>
          <w:rFonts w:ascii="Cambria" w:eastAsia="Calibri" w:hAnsi="Cambria" w:cs="Calibri"/>
          <w:sz w:val="24"/>
          <w:szCs w:val="24"/>
        </w:rPr>
        <w:t xml:space="preserve"> typically based on small cross-sectional samples, and unclear. Consequently, this thesis had two aims. First, to summarise the existing literature on the relationship between ACEs, anxiety, and chronic pain experiences in adults</w:t>
      </w:r>
      <w:r w:rsidR="005B0238">
        <w:rPr>
          <w:rFonts w:ascii="Cambria" w:eastAsia="Calibri" w:hAnsi="Cambria" w:cs="Calibri"/>
          <w:sz w:val="24"/>
          <w:szCs w:val="24"/>
        </w:rPr>
        <w:t xml:space="preserve">. </w:t>
      </w:r>
      <w:r w:rsidRPr="13B33B62">
        <w:rPr>
          <w:rFonts w:ascii="Cambria" w:eastAsia="Calibri" w:hAnsi="Cambria" w:cs="Calibri"/>
          <w:sz w:val="24"/>
          <w:szCs w:val="24"/>
        </w:rPr>
        <w:t xml:space="preserve">Second, to examine these associations, as well as the </w:t>
      </w:r>
      <w:r w:rsidR="005B0238">
        <w:rPr>
          <w:rFonts w:ascii="Cambria" w:eastAsia="Calibri" w:hAnsi="Cambria" w:cs="Calibri"/>
          <w:sz w:val="24"/>
          <w:szCs w:val="24"/>
        </w:rPr>
        <w:t xml:space="preserve">potential </w:t>
      </w:r>
      <w:r w:rsidRPr="13B33B62">
        <w:rPr>
          <w:rFonts w:ascii="Cambria" w:eastAsia="Calibri" w:hAnsi="Cambria" w:cs="Calibri"/>
          <w:sz w:val="24"/>
          <w:szCs w:val="24"/>
        </w:rPr>
        <w:t>impact of inflammatory biomarker C-reactive Protein (CRP), within large, representative cohorts. It was hypothesised there would be a significant positive association between childhood adversity/trauma, anxiety, and chronic pain experiences. Chapter Two is a systematic literature review (SLR) and meta-analysis; while Chapters Three and Four used structural equational modelling (SEM), general linear modelling (GLM), and Poisson regressions on existing data from</w:t>
      </w:r>
      <w:r w:rsidR="4BD41E86" w:rsidRPr="13B33B62">
        <w:rPr>
          <w:rFonts w:ascii="Cambria" w:eastAsia="Calibri" w:hAnsi="Cambria" w:cs="Calibri"/>
          <w:sz w:val="24"/>
          <w:szCs w:val="24"/>
        </w:rPr>
        <w:t xml:space="preserve"> two</w:t>
      </w:r>
      <w:r w:rsidRPr="13B33B62">
        <w:rPr>
          <w:rFonts w:ascii="Cambria" w:eastAsia="Calibri" w:hAnsi="Cambria" w:cs="Calibri"/>
          <w:sz w:val="24"/>
          <w:szCs w:val="24"/>
        </w:rPr>
        <w:t xml:space="preserve"> separate UK- and US-based cohorts. The narrative summary in Chapter Two revealed a significant association between ACEs, anxiety, and chronic pain experiences in adults. The meta-analyses showed moderate associations between anxiety and chronic pain, between ACEs and anxiety, and</w:t>
      </w:r>
      <w:r w:rsidR="30CA8FA1" w:rsidRPr="13B33B62">
        <w:rPr>
          <w:rFonts w:ascii="Cambria" w:eastAsia="Calibri" w:hAnsi="Cambria" w:cs="Calibri"/>
          <w:sz w:val="24"/>
          <w:szCs w:val="24"/>
        </w:rPr>
        <w:t xml:space="preserve"> </w:t>
      </w:r>
      <w:r w:rsidRPr="13B33B62">
        <w:rPr>
          <w:rFonts w:ascii="Cambria" w:eastAsia="Calibri" w:hAnsi="Cambria" w:cs="Calibri"/>
          <w:sz w:val="24"/>
          <w:szCs w:val="24"/>
        </w:rPr>
        <w:t>indicated that participants who experienced ACEs are around twice as likely to present with chronic pain during adulthood. Chapter Three focused on the analyses of the UK Biobank database, which found that ACEs interacted with CRP to predict chronic pain experiences. The results in Chapter Four, analysing the Midlife in the United States (MIDUS) data, helped support and validate the results of the UK Biobank analysis</w:t>
      </w:r>
      <w:r w:rsidR="7B6773E4" w:rsidRPr="13B33B62">
        <w:rPr>
          <w:rFonts w:ascii="Cambria" w:eastAsia="Calibri" w:hAnsi="Cambria" w:cs="Calibri"/>
          <w:sz w:val="24"/>
          <w:szCs w:val="24"/>
        </w:rPr>
        <w:t>. It</w:t>
      </w:r>
      <w:r w:rsidRPr="13B33B62">
        <w:rPr>
          <w:rFonts w:ascii="Cambria" w:eastAsia="Calibri" w:hAnsi="Cambria" w:cs="Calibri"/>
          <w:sz w:val="24"/>
          <w:szCs w:val="24"/>
        </w:rPr>
        <w:t xml:space="preserve"> revealed </w:t>
      </w:r>
      <w:r w:rsidR="2099D428" w:rsidRPr="13B33B62">
        <w:rPr>
          <w:rFonts w:ascii="Cambria" w:eastAsia="Calibri" w:hAnsi="Cambria" w:cs="Calibri"/>
          <w:sz w:val="24"/>
          <w:szCs w:val="24"/>
        </w:rPr>
        <w:t xml:space="preserve">CRP </w:t>
      </w:r>
      <w:r w:rsidR="053C9650" w:rsidRPr="13B33B62">
        <w:rPr>
          <w:rFonts w:ascii="Cambria" w:eastAsia="Calibri" w:hAnsi="Cambria" w:cs="Calibri"/>
          <w:sz w:val="24"/>
          <w:szCs w:val="24"/>
        </w:rPr>
        <w:t xml:space="preserve">was </w:t>
      </w:r>
      <w:r w:rsidR="2099D428" w:rsidRPr="13B33B62">
        <w:rPr>
          <w:rFonts w:ascii="Cambria" w:eastAsia="Calibri" w:hAnsi="Cambria" w:cs="Calibri"/>
          <w:sz w:val="24"/>
          <w:szCs w:val="24"/>
        </w:rPr>
        <w:t>significantly correlated with anxiety, emotional abuse, physical neglect, socio</w:t>
      </w:r>
      <w:r w:rsidR="3AD51A64" w:rsidRPr="13B33B62">
        <w:rPr>
          <w:rFonts w:ascii="Cambria" w:eastAsia="Calibri" w:hAnsi="Cambria" w:cs="Calibri"/>
          <w:sz w:val="24"/>
          <w:szCs w:val="24"/>
        </w:rPr>
        <w:t>-</w:t>
      </w:r>
      <w:r w:rsidR="2099D428" w:rsidRPr="13B33B62">
        <w:rPr>
          <w:rFonts w:ascii="Cambria" w:eastAsia="Calibri" w:hAnsi="Cambria" w:cs="Calibri"/>
          <w:sz w:val="24"/>
          <w:szCs w:val="24"/>
        </w:rPr>
        <w:t>demographic</w:t>
      </w:r>
      <w:r w:rsidR="48DAEC29" w:rsidRPr="13B33B62">
        <w:rPr>
          <w:rFonts w:ascii="Cambria" w:eastAsia="Calibri" w:hAnsi="Cambria" w:cs="Calibri"/>
          <w:sz w:val="24"/>
          <w:szCs w:val="24"/>
        </w:rPr>
        <w:t xml:space="preserve"> </w:t>
      </w:r>
      <w:r w:rsidR="2099D428" w:rsidRPr="13B33B62">
        <w:rPr>
          <w:rFonts w:ascii="Cambria" w:eastAsia="Calibri" w:hAnsi="Cambria" w:cs="Calibri"/>
          <w:sz w:val="24"/>
          <w:szCs w:val="24"/>
        </w:rPr>
        <w:t>variables, and chronic pain presence</w:t>
      </w:r>
      <w:r w:rsidR="522CE976" w:rsidRPr="13B33B62">
        <w:rPr>
          <w:rFonts w:ascii="Cambria" w:eastAsia="Calibri" w:hAnsi="Cambria" w:cs="Calibri"/>
          <w:sz w:val="24"/>
          <w:szCs w:val="24"/>
        </w:rPr>
        <w:t>, but</w:t>
      </w:r>
      <w:r w:rsidR="2099D428" w:rsidRPr="13B33B62">
        <w:rPr>
          <w:rFonts w:ascii="Cambria" w:eastAsia="Calibri" w:hAnsi="Cambria" w:cs="Calibri"/>
          <w:sz w:val="24"/>
          <w:szCs w:val="24"/>
        </w:rPr>
        <w:t xml:space="preserve"> </w:t>
      </w:r>
      <w:r w:rsidRPr="13B33B62">
        <w:rPr>
          <w:rFonts w:ascii="Cambria" w:eastAsia="Calibri" w:hAnsi="Cambria" w:cs="Calibri"/>
          <w:sz w:val="24"/>
          <w:szCs w:val="24"/>
        </w:rPr>
        <w:t>childhood adversity, anxiety, and CRP did not independently predict chronic pain</w:t>
      </w:r>
      <w:r w:rsidR="156B63C3" w:rsidRPr="13B33B62">
        <w:rPr>
          <w:rFonts w:ascii="Cambria" w:eastAsia="Calibri" w:hAnsi="Cambria" w:cs="Calibri"/>
          <w:sz w:val="24"/>
          <w:szCs w:val="24"/>
        </w:rPr>
        <w:t>.</w:t>
      </w:r>
      <w:r w:rsidRPr="13B33B62">
        <w:rPr>
          <w:rFonts w:ascii="Cambria" w:eastAsia="Calibri" w:hAnsi="Cambria" w:cs="Calibri"/>
          <w:sz w:val="24"/>
          <w:szCs w:val="24"/>
        </w:rPr>
        <w:t xml:space="preserve"> </w:t>
      </w:r>
      <w:r w:rsidR="15E1DA9F" w:rsidRPr="13B33B62">
        <w:rPr>
          <w:rFonts w:ascii="Cambria" w:eastAsia="Calibri" w:hAnsi="Cambria" w:cs="Calibri"/>
          <w:sz w:val="24"/>
          <w:szCs w:val="24"/>
        </w:rPr>
        <w:t xml:space="preserve">However, </w:t>
      </w:r>
      <w:r w:rsidRPr="13B33B62">
        <w:rPr>
          <w:rFonts w:ascii="Cambria" w:eastAsia="Calibri" w:hAnsi="Cambria" w:cs="Calibri"/>
          <w:sz w:val="24"/>
          <w:szCs w:val="24"/>
        </w:rPr>
        <w:t>there were several interactions between these variables that did</w:t>
      </w:r>
      <w:r w:rsidR="69FB9B5B" w:rsidRPr="13B33B62">
        <w:rPr>
          <w:rFonts w:ascii="Cambria" w:eastAsia="Calibri" w:hAnsi="Cambria" w:cs="Calibri"/>
          <w:sz w:val="24"/>
          <w:szCs w:val="24"/>
        </w:rPr>
        <w:t xml:space="preserve"> predict chronic pain experiences</w:t>
      </w:r>
      <w:r w:rsidRPr="13B33B62">
        <w:rPr>
          <w:rFonts w:ascii="Cambria" w:eastAsia="Calibri" w:hAnsi="Cambria" w:cs="Calibri"/>
          <w:sz w:val="24"/>
          <w:szCs w:val="24"/>
        </w:rPr>
        <w:t xml:space="preserve">, such as </w:t>
      </w:r>
      <w:r w:rsidR="00D86458">
        <w:rPr>
          <w:rFonts w:ascii="Cambria" w:eastAsia="Calibri" w:hAnsi="Cambria" w:cs="Calibri"/>
          <w:sz w:val="24"/>
          <w:szCs w:val="24"/>
        </w:rPr>
        <w:t>ACEs</w:t>
      </w:r>
      <w:r w:rsidRPr="13B33B62">
        <w:rPr>
          <w:rFonts w:ascii="Cambria" w:eastAsia="Calibri" w:hAnsi="Cambria" w:cs="Calibri"/>
          <w:sz w:val="24"/>
          <w:szCs w:val="24"/>
        </w:rPr>
        <w:t xml:space="preserve"> with CRP </w:t>
      </w:r>
      <w:r w:rsidR="00D86458">
        <w:rPr>
          <w:rFonts w:ascii="Cambria" w:eastAsia="Calibri" w:hAnsi="Cambria" w:cs="Calibri"/>
          <w:sz w:val="24"/>
          <w:szCs w:val="24"/>
        </w:rPr>
        <w:t>and</w:t>
      </w:r>
      <w:r w:rsidR="13F9E527" w:rsidRPr="13B33B62">
        <w:rPr>
          <w:rFonts w:ascii="Cambria" w:eastAsia="Calibri" w:hAnsi="Cambria" w:cs="Calibri"/>
          <w:sz w:val="24"/>
          <w:szCs w:val="24"/>
        </w:rPr>
        <w:t xml:space="preserve"> </w:t>
      </w:r>
      <w:r w:rsidRPr="13B33B62">
        <w:rPr>
          <w:rFonts w:ascii="Cambria" w:eastAsia="Calibri" w:hAnsi="Cambria" w:cs="Calibri"/>
          <w:sz w:val="24"/>
          <w:szCs w:val="24"/>
        </w:rPr>
        <w:t xml:space="preserve">with gender. </w:t>
      </w:r>
      <w:r w:rsidR="0E217E95" w:rsidRPr="13B33B62">
        <w:rPr>
          <w:rFonts w:ascii="Cambria" w:eastAsia="Calibri" w:hAnsi="Cambria" w:cs="Calibri"/>
          <w:sz w:val="24"/>
          <w:szCs w:val="24"/>
        </w:rPr>
        <w:t xml:space="preserve">The </w:t>
      </w:r>
      <w:r w:rsidR="0066680A" w:rsidRPr="13B33B62">
        <w:rPr>
          <w:rFonts w:ascii="Cambria" w:eastAsia="Calibri" w:hAnsi="Cambria" w:cs="Calibri"/>
          <w:sz w:val="24"/>
          <w:szCs w:val="24"/>
        </w:rPr>
        <w:t xml:space="preserve">MIDUS </w:t>
      </w:r>
      <w:r w:rsidR="69E2D771" w:rsidRPr="13B33B62">
        <w:rPr>
          <w:rFonts w:ascii="Cambria" w:eastAsia="Calibri" w:hAnsi="Cambria" w:cs="Calibri"/>
          <w:sz w:val="24"/>
          <w:szCs w:val="24"/>
        </w:rPr>
        <w:t xml:space="preserve">data </w:t>
      </w:r>
      <w:r w:rsidR="0066680A" w:rsidRPr="13B33B62">
        <w:rPr>
          <w:rFonts w:ascii="Cambria" w:eastAsia="Calibri" w:hAnsi="Cambria" w:cs="Calibri"/>
          <w:sz w:val="24"/>
          <w:szCs w:val="24"/>
        </w:rPr>
        <w:t xml:space="preserve">also allowed investigations </w:t>
      </w:r>
      <w:r w:rsidR="1D792F9A" w:rsidRPr="13B33B62">
        <w:rPr>
          <w:rFonts w:ascii="Cambria" w:eastAsia="Calibri" w:hAnsi="Cambria" w:cs="Calibri"/>
          <w:sz w:val="24"/>
          <w:szCs w:val="24"/>
        </w:rPr>
        <w:t xml:space="preserve">into </w:t>
      </w:r>
      <w:r w:rsidR="0066680A" w:rsidRPr="13B33B62">
        <w:rPr>
          <w:rFonts w:ascii="Cambria" w:eastAsia="Calibri" w:hAnsi="Cambria" w:cs="Calibri"/>
          <w:sz w:val="24"/>
          <w:szCs w:val="24"/>
        </w:rPr>
        <w:t xml:space="preserve">the </w:t>
      </w:r>
      <w:r w:rsidRPr="13B33B62">
        <w:rPr>
          <w:rFonts w:ascii="Cambria" w:eastAsia="Calibri" w:hAnsi="Cambria" w:cs="Calibri"/>
          <w:sz w:val="24"/>
          <w:szCs w:val="24"/>
        </w:rPr>
        <w:t>influence of childhood adversity on long</w:t>
      </w:r>
      <w:r w:rsidR="005F37E0">
        <w:rPr>
          <w:rFonts w:ascii="Cambria" w:eastAsia="Calibri" w:hAnsi="Cambria" w:cs="Calibri"/>
          <w:sz w:val="24"/>
          <w:szCs w:val="24"/>
        </w:rPr>
        <w:t>-</w:t>
      </w:r>
      <w:r w:rsidRPr="13B33B62">
        <w:rPr>
          <w:rFonts w:ascii="Cambria" w:eastAsia="Calibri" w:hAnsi="Cambria" w:cs="Calibri"/>
          <w:sz w:val="24"/>
          <w:szCs w:val="24"/>
        </w:rPr>
        <w:t>term medication use for chronic pain</w:t>
      </w:r>
      <w:r w:rsidR="0F3112A0" w:rsidRPr="13B33B62">
        <w:rPr>
          <w:rFonts w:ascii="Cambria" w:eastAsia="Calibri" w:hAnsi="Cambria" w:cs="Calibri"/>
          <w:sz w:val="24"/>
          <w:szCs w:val="24"/>
        </w:rPr>
        <w:t>, which were found to be</w:t>
      </w:r>
      <w:r w:rsidRPr="13B33B62">
        <w:rPr>
          <w:rFonts w:ascii="Cambria" w:eastAsia="Calibri" w:hAnsi="Cambria" w:cs="Calibri"/>
          <w:sz w:val="24"/>
          <w:szCs w:val="24"/>
        </w:rPr>
        <w:t xml:space="preserve"> complex, with significant interactions between </w:t>
      </w:r>
      <w:r w:rsidR="005B0238">
        <w:rPr>
          <w:rFonts w:ascii="Cambria" w:eastAsia="Calibri" w:hAnsi="Cambria" w:cs="Calibri"/>
          <w:sz w:val="24"/>
          <w:szCs w:val="24"/>
        </w:rPr>
        <w:t>childhood abuse types</w:t>
      </w:r>
      <w:r w:rsidRPr="13B33B62">
        <w:rPr>
          <w:rFonts w:ascii="Cambria" w:eastAsia="Calibri" w:hAnsi="Cambria" w:cs="Calibri"/>
          <w:sz w:val="24"/>
          <w:szCs w:val="24"/>
        </w:rPr>
        <w:t xml:space="preserve">, </w:t>
      </w:r>
      <w:r w:rsidR="005B0238">
        <w:rPr>
          <w:rFonts w:ascii="Cambria" w:eastAsia="Calibri" w:hAnsi="Cambria" w:cs="Calibri"/>
          <w:sz w:val="24"/>
          <w:szCs w:val="24"/>
        </w:rPr>
        <w:t xml:space="preserve">and between </w:t>
      </w:r>
      <w:r w:rsidRPr="13B33B62">
        <w:rPr>
          <w:rFonts w:ascii="Cambria" w:eastAsia="Calibri" w:hAnsi="Cambria" w:cs="Calibri"/>
          <w:sz w:val="24"/>
          <w:szCs w:val="24"/>
        </w:rPr>
        <w:t xml:space="preserve">CRP </w:t>
      </w:r>
      <w:r w:rsidR="005B0238">
        <w:rPr>
          <w:rFonts w:ascii="Cambria" w:eastAsia="Calibri" w:hAnsi="Cambria" w:cs="Calibri"/>
          <w:sz w:val="24"/>
          <w:szCs w:val="24"/>
        </w:rPr>
        <w:t>and socio-demographic variables</w:t>
      </w:r>
      <w:r w:rsidRPr="13B33B62">
        <w:rPr>
          <w:rFonts w:ascii="Cambria" w:eastAsia="Calibri" w:hAnsi="Cambria" w:cs="Calibri"/>
          <w:sz w:val="24"/>
          <w:szCs w:val="24"/>
        </w:rPr>
        <w:t>. Chapter Five presents an overall Discussion of the findings of this thesis, such that these three studies supported the hypothesis that ACEs and anxiety influence chronic pain experience in adults, with the cohort data from Chapters Three and Four advancing the literature by suggesting potential mechanisms of the impact of ACEs on chronic pain via inflammation, as well as the substantial role socio-</w:t>
      </w:r>
      <w:r w:rsidR="009E7B39">
        <w:rPr>
          <w:rFonts w:ascii="Cambria" w:eastAsia="Calibri" w:hAnsi="Cambria" w:cs="Calibri"/>
          <w:sz w:val="24"/>
          <w:szCs w:val="24"/>
        </w:rPr>
        <w:t>demographic</w:t>
      </w:r>
      <w:r w:rsidR="009E7B39" w:rsidRPr="13B33B62">
        <w:rPr>
          <w:rFonts w:ascii="Cambria" w:eastAsia="Calibri" w:hAnsi="Cambria" w:cs="Calibri"/>
          <w:sz w:val="24"/>
          <w:szCs w:val="24"/>
        </w:rPr>
        <w:t xml:space="preserve"> </w:t>
      </w:r>
      <w:r w:rsidR="4296D355" w:rsidRPr="13B33B62">
        <w:rPr>
          <w:rFonts w:ascii="Cambria" w:eastAsia="Calibri" w:hAnsi="Cambria" w:cs="Calibri"/>
          <w:sz w:val="24"/>
          <w:szCs w:val="24"/>
        </w:rPr>
        <w:t xml:space="preserve">variables </w:t>
      </w:r>
      <w:r w:rsidRPr="13B33B62">
        <w:rPr>
          <w:rFonts w:ascii="Cambria" w:eastAsia="Calibri" w:hAnsi="Cambria" w:cs="Calibri"/>
          <w:sz w:val="24"/>
          <w:szCs w:val="24"/>
        </w:rPr>
        <w:t>play. The findings contribute to both academic</w:t>
      </w:r>
      <w:r w:rsidR="00D86458">
        <w:rPr>
          <w:rFonts w:ascii="Cambria" w:eastAsia="Calibri" w:hAnsi="Cambria" w:cs="Calibri"/>
          <w:sz w:val="24"/>
          <w:szCs w:val="24"/>
        </w:rPr>
        <w:t>/</w:t>
      </w:r>
      <w:r w:rsidRPr="13B33B62">
        <w:rPr>
          <w:rFonts w:ascii="Cambria" w:eastAsia="Calibri" w:hAnsi="Cambria" w:cs="Calibri"/>
          <w:sz w:val="24"/>
          <w:szCs w:val="24"/>
        </w:rPr>
        <w:t xml:space="preserve">clinical guidance and perspectives for future research, policy changes, and improving healthcare screening practices. The implications </w:t>
      </w:r>
      <w:r w:rsidR="00225BEB">
        <w:rPr>
          <w:rFonts w:ascii="Cambria" w:eastAsia="Calibri" w:hAnsi="Cambria" w:cs="Calibri"/>
          <w:sz w:val="24"/>
          <w:szCs w:val="24"/>
        </w:rPr>
        <w:t>a</w:t>
      </w:r>
      <w:r w:rsidRPr="13B33B62">
        <w:rPr>
          <w:rFonts w:ascii="Cambria" w:eastAsia="Calibri" w:hAnsi="Cambria" w:cs="Calibri"/>
          <w:sz w:val="24"/>
          <w:szCs w:val="24"/>
        </w:rPr>
        <w:t xml:space="preserve">re also </w:t>
      </w:r>
      <w:r w:rsidR="00D86458">
        <w:rPr>
          <w:rFonts w:ascii="Cambria" w:eastAsia="Calibri" w:hAnsi="Cambria" w:cs="Calibri"/>
          <w:sz w:val="24"/>
          <w:szCs w:val="24"/>
        </w:rPr>
        <w:t>discussed</w:t>
      </w:r>
      <w:r w:rsidRPr="13B33B62">
        <w:rPr>
          <w:rFonts w:ascii="Cambria" w:eastAsia="Calibri" w:hAnsi="Cambria" w:cs="Calibri"/>
          <w:sz w:val="24"/>
          <w:szCs w:val="24"/>
        </w:rPr>
        <w:t>, such that ACEs should be considered in public health policies and decision-making, particularly in intervention</w:t>
      </w:r>
      <w:r w:rsidR="00D86458">
        <w:rPr>
          <w:rFonts w:ascii="Cambria" w:eastAsia="Calibri" w:hAnsi="Cambria" w:cs="Calibri"/>
          <w:sz w:val="24"/>
          <w:szCs w:val="24"/>
        </w:rPr>
        <w:t>/</w:t>
      </w:r>
      <w:r w:rsidRPr="13B33B62">
        <w:rPr>
          <w:rFonts w:ascii="Cambria" w:eastAsia="Calibri" w:hAnsi="Cambria" w:cs="Calibri"/>
          <w:sz w:val="24"/>
          <w:szCs w:val="24"/>
        </w:rPr>
        <w:t xml:space="preserve">preventative programmes. Implementing screening measures and/or identification of those with co-occurring anxiety, inflammation, and chronic pain would be important for future public health strategies and could be incorporated into treatment algorithm processes. </w:t>
      </w:r>
    </w:p>
    <w:bookmarkStart w:id="4" w:name="_Toc181362874" w:displacedByCustomXml="next"/>
    <w:sdt>
      <w:sdtPr>
        <w:rPr>
          <w:rFonts w:asciiTheme="minorHAnsi" w:eastAsiaTheme="minorEastAsia" w:hAnsiTheme="minorHAnsi" w:cstheme="minorBidi"/>
          <w:b w:val="0"/>
          <w:bCs w:val="0"/>
          <w:kern w:val="0"/>
          <w:sz w:val="22"/>
          <w:szCs w:val="22"/>
        </w:rPr>
        <w:id w:val="821244204"/>
        <w:docPartObj>
          <w:docPartGallery w:val="Table of Contents"/>
          <w:docPartUnique/>
        </w:docPartObj>
      </w:sdtPr>
      <w:sdtEndPr>
        <w:rPr>
          <w:noProof/>
        </w:rPr>
      </w:sdtEndPr>
      <w:sdtContent>
        <w:p w14:paraId="2B9AC457" w14:textId="238AA21D" w:rsidR="00B93217" w:rsidRDefault="00B93217" w:rsidP="00B93217">
          <w:pPr>
            <w:pStyle w:val="Heading1"/>
          </w:pPr>
          <w:r>
            <w:t>Table of Contents</w:t>
          </w:r>
          <w:bookmarkEnd w:id="4"/>
        </w:p>
        <w:p w14:paraId="6337D511" w14:textId="5D559027" w:rsidR="004447E8" w:rsidRDefault="00B93217">
          <w:pPr>
            <w:pStyle w:val="TOC1"/>
            <w:tabs>
              <w:tab w:val="right" w:leader="dot" w:pos="9350"/>
            </w:tabs>
            <w:rPr>
              <w:rFonts w:eastAsiaTheme="minorEastAsia"/>
              <w:noProof/>
              <w:kern w:val="2"/>
              <w:lang w:val="en-US"/>
              <w14:ligatures w14:val="standardContextual"/>
            </w:rPr>
          </w:pPr>
          <w:r>
            <w:fldChar w:fldCharType="begin"/>
          </w:r>
          <w:r>
            <w:instrText xml:space="preserve"> TOC \o "1-3" \h \z \u </w:instrText>
          </w:r>
          <w:r>
            <w:fldChar w:fldCharType="separate"/>
          </w:r>
          <w:hyperlink w:anchor="_Toc181362872" w:history="1">
            <w:r w:rsidR="00983692" w:rsidRPr="006A32BE">
              <w:rPr>
                <w:rStyle w:val="Hyperlink"/>
                <w:rFonts w:eastAsia="Calibri"/>
                <w:noProof/>
              </w:rPr>
              <w:t>Dedication</w:t>
            </w:r>
            <w:r w:rsidR="00983692">
              <w:rPr>
                <w:noProof/>
                <w:webHidden/>
              </w:rPr>
              <w:tab/>
            </w:r>
            <w:r w:rsidR="004447E8">
              <w:rPr>
                <w:noProof/>
                <w:webHidden/>
              </w:rPr>
              <w:fldChar w:fldCharType="begin"/>
            </w:r>
            <w:r w:rsidR="004447E8">
              <w:rPr>
                <w:noProof/>
                <w:webHidden/>
              </w:rPr>
              <w:instrText xml:space="preserve"> PAGEREF _Toc181362872 \h </w:instrText>
            </w:r>
            <w:r w:rsidR="004447E8">
              <w:rPr>
                <w:noProof/>
                <w:webHidden/>
              </w:rPr>
            </w:r>
            <w:r w:rsidR="004447E8">
              <w:rPr>
                <w:noProof/>
                <w:webHidden/>
              </w:rPr>
              <w:fldChar w:fldCharType="separate"/>
            </w:r>
            <w:r w:rsidR="00983692">
              <w:rPr>
                <w:noProof/>
                <w:webHidden/>
              </w:rPr>
              <w:t>Ii</w:t>
            </w:r>
            <w:r w:rsidR="004447E8">
              <w:rPr>
                <w:noProof/>
                <w:webHidden/>
              </w:rPr>
              <w:fldChar w:fldCharType="end"/>
            </w:r>
          </w:hyperlink>
        </w:p>
        <w:p w14:paraId="6FF5D865" w14:textId="59EF6B20" w:rsidR="004447E8" w:rsidRDefault="004447E8">
          <w:pPr>
            <w:pStyle w:val="TOC1"/>
            <w:tabs>
              <w:tab w:val="right" w:leader="dot" w:pos="9350"/>
            </w:tabs>
            <w:rPr>
              <w:rFonts w:eastAsiaTheme="minorEastAsia"/>
              <w:noProof/>
              <w:kern w:val="2"/>
              <w:lang w:val="en-US"/>
              <w14:ligatures w14:val="standardContextual"/>
            </w:rPr>
          </w:pPr>
          <w:hyperlink w:anchor="_Toc181362873" w:history="1">
            <w:r w:rsidR="00983692" w:rsidRPr="006A32BE">
              <w:rPr>
                <w:rStyle w:val="Hyperlink"/>
                <w:rFonts w:eastAsia="Calibri"/>
                <w:noProof/>
              </w:rPr>
              <w:t>Abstract</w:t>
            </w:r>
            <w:r w:rsidR="00983692">
              <w:rPr>
                <w:noProof/>
                <w:webHidden/>
              </w:rPr>
              <w:tab/>
            </w:r>
            <w:r>
              <w:rPr>
                <w:noProof/>
                <w:webHidden/>
              </w:rPr>
              <w:fldChar w:fldCharType="begin"/>
            </w:r>
            <w:r>
              <w:rPr>
                <w:noProof/>
                <w:webHidden/>
              </w:rPr>
              <w:instrText xml:space="preserve"> PAGEREF _Toc181362873 \h </w:instrText>
            </w:r>
            <w:r>
              <w:rPr>
                <w:noProof/>
                <w:webHidden/>
              </w:rPr>
            </w:r>
            <w:r>
              <w:rPr>
                <w:noProof/>
                <w:webHidden/>
              </w:rPr>
              <w:fldChar w:fldCharType="separate"/>
            </w:r>
            <w:r w:rsidR="00983692">
              <w:rPr>
                <w:noProof/>
                <w:webHidden/>
              </w:rPr>
              <w:t>Iii</w:t>
            </w:r>
            <w:r>
              <w:rPr>
                <w:noProof/>
                <w:webHidden/>
              </w:rPr>
              <w:fldChar w:fldCharType="end"/>
            </w:r>
          </w:hyperlink>
        </w:p>
        <w:p w14:paraId="457B981F" w14:textId="390EC935" w:rsidR="004447E8" w:rsidRDefault="004447E8">
          <w:pPr>
            <w:pStyle w:val="TOC1"/>
            <w:tabs>
              <w:tab w:val="right" w:leader="dot" w:pos="9350"/>
            </w:tabs>
            <w:rPr>
              <w:rFonts w:eastAsiaTheme="minorEastAsia"/>
              <w:noProof/>
              <w:kern w:val="2"/>
              <w:lang w:val="en-US"/>
              <w14:ligatures w14:val="standardContextual"/>
            </w:rPr>
          </w:pPr>
          <w:hyperlink w:anchor="_Toc181362874" w:history="1">
            <w:r w:rsidR="00983692" w:rsidRPr="006A32BE">
              <w:rPr>
                <w:rStyle w:val="Hyperlink"/>
                <w:noProof/>
              </w:rPr>
              <w:t>Table Of Contents</w:t>
            </w:r>
            <w:r w:rsidR="00983692">
              <w:rPr>
                <w:noProof/>
                <w:webHidden/>
              </w:rPr>
              <w:tab/>
            </w:r>
            <w:r>
              <w:rPr>
                <w:noProof/>
                <w:webHidden/>
              </w:rPr>
              <w:fldChar w:fldCharType="begin"/>
            </w:r>
            <w:r>
              <w:rPr>
                <w:noProof/>
                <w:webHidden/>
              </w:rPr>
              <w:instrText xml:space="preserve"> PAGEREF _Toc181362874 \h </w:instrText>
            </w:r>
            <w:r>
              <w:rPr>
                <w:noProof/>
                <w:webHidden/>
              </w:rPr>
            </w:r>
            <w:r>
              <w:rPr>
                <w:noProof/>
                <w:webHidden/>
              </w:rPr>
              <w:fldChar w:fldCharType="separate"/>
            </w:r>
            <w:r w:rsidR="00983692">
              <w:rPr>
                <w:noProof/>
                <w:webHidden/>
              </w:rPr>
              <w:t>Iv</w:t>
            </w:r>
            <w:r>
              <w:rPr>
                <w:noProof/>
                <w:webHidden/>
              </w:rPr>
              <w:fldChar w:fldCharType="end"/>
            </w:r>
          </w:hyperlink>
        </w:p>
        <w:p w14:paraId="3187B9CD" w14:textId="2A69E7D9" w:rsidR="004447E8" w:rsidRDefault="004447E8">
          <w:pPr>
            <w:pStyle w:val="TOC1"/>
            <w:tabs>
              <w:tab w:val="right" w:leader="dot" w:pos="9350"/>
            </w:tabs>
            <w:rPr>
              <w:rFonts w:eastAsiaTheme="minorEastAsia"/>
              <w:noProof/>
              <w:kern w:val="2"/>
              <w:lang w:val="en-US"/>
              <w14:ligatures w14:val="standardContextual"/>
            </w:rPr>
          </w:pPr>
          <w:hyperlink w:anchor="_Toc181362875" w:history="1">
            <w:r w:rsidR="00983692" w:rsidRPr="006A32BE">
              <w:rPr>
                <w:rStyle w:val="Hyperlink"/>
                <w:rFonts w:eastAsia="Calibri"/>
                <w:noProof/>
              </w:rPr>
              <w:t>List Of Abbreviations</w:t>
            </w:r>
            <w:r w:rsidR="00983692">
              <w:rPr>
                <w:noProof/>
                <w:webHidden/>
              </w:rPr>
              <w:tab/>
            </w:r>
            <w:r>
              <w:rPr>
                <w:noProof/>
                <w:webHidden/>
              </w:rPr>
              <w:fldChar w:fldCharType="begin"/>
            </w:r>
            <w:r>
              <w:rPr>
                <w:noProof/>
                <w:webHidden/>
              </w:rPr>
              <w:instrText xml:space="preserve"> PAGEREF _Toc181362875 \h </w:instrText>
            </w:r>
            <w:r>
              <w:rPr>
                <w:noProof/>
                <w:webHidden/>
              </w:rPr>
            </w:r>
            <w:r>
              <w:rPr>
                <w:noProof/>
                <w:webHidden/>
              </w:rPr>
              <w:fldChar w:fldCharType="separate"/>
            </w:r>
            <w:r w:rsidR="00983692">
              <w:rPr>
                <w:noProof/>
                <w:webHidden/>
              </w:rPr>
              <w:t>V</w:t>
            </w:r>
            <w:r>
              <w:rPr>
                <w:noProof/>
                <w:webHidden/>
              </w:rPr>
              <w:fldChar w:fldCharType="end"/>
            </w:r>
          </w:hyperlink>
        </w:p>
        <w:p w14:paraId="3EEFAD76" w14:textId="1EB3199F" w:rsidR="004447E8" w:rsidRDefault="004447E8">
          <w:pPr>
            <w:pStyle w:val="TOC1"/>
            <w:tabs>
              <w:tab w:val="right" w:leader="dot" w:pos="9350"/>
            </w:tabs>
            <w:rPr>
              <w:rFonts w:eastAsiaTheme="minorEastAsia"/>
              <w:noProof/>
              <w:kern w:val="2"/>
              <w:lang w:val="en-US"/>
              <w14:ligatures w14:val="standardContextual"/>
            </w:rPr>
          </w:pPr>
          <w:hyperlink w:anchor="_Toc181362876" w:history="1">
            <w:r w:rsidR="00983692" w:rsidRPr="006A32BE">
              <w:rPr>
                <w:rStyle w:val="Hyperlink"/>
                <w:rFonts w:eastAsia="Calibri"/>
                <w:noProof/>
              </w:rPr>
              <w:t>Acknowledgements</w:t>
            </w:r>
            <w:r w:rsidR="00983692">
              <w:rPr>
                <w:noProof/>
                <w:webHidden/>
              </w:rPr>
              <w:tab/>
            </w:r>
            <w:r>
              <w:rPr>
                <w:noProof/>
                <w:webHidden/>
              </w:rPr>
              <w:fldChar w:fldCharType="begin"/>
            </w:r>
            <w:r>
              <w:rPr>
                <w:noProof/>
                <w:webHidden/>
              </w:rPr>
              <w:instrText xml:space="preserve"> PAGEREF _Toc181362876 \h </w:instrText>
            </w:r>
            <w:r>
              <w:rPr>
                <w:noProof/>
                <w:webHidden/>
              </w:rPr>
            </w:r>
            <w:r>
              <w:rPr>
                <w:noProof/>
                <w:webHidden/>
              </w:rPr>
              <w:fldChar w:fldCharType="separate"/>
            </w:r>
            <w:r w:rsidR="00983692">
              <w:rPr>
                <w:noProof/>
                <w:webHidden/>
              </w:rPr>
              <w:t>Vi</w:t>
            </w:r>
            <w:r>
              <w:rPr>
                <w:noProof/>
                <w:webHidden/>
              </w:rPr>
              <w:fldChar w:fldCharType="end"/>
            </w:r>
          </w:hyperlink>
        </w:p>
        <w:p w14:paraId="0BDE665B" w14:textId="66AAA7A8" w:rsidR="004447E8" w:rsidRDefault="004447E8">
          <w:pPr>
            <w:pStyle w:val="TOC1"/>
            <w:tabs>
              <w:tab w:val="right" w:leader="dot" w:pos="9350"/>
            </w:tabs>
            <w:rPr>
              <w:rFonts w:eastAsiaTheme="minorEastAsia"/>
              <w:noProof/>
              <w:kern w:val="2"/>
              <w:lang w:val="en-US"/>
              <w14:ligatures w14:val="standardContextual"/>
            </w:rPr>
          </w:pPr>
          <w:hyperlink w:anchor="_Toc181362877" w:history="1">
            <w:r w:rsidR="00983692" w:rsidRPr="006A32BE">
              <w:rPr>
                <w:rStyle w:val="Hyperlink"/>
                <w:rFonts w:eastAsia="Calibri"/>
                <w:noProof/>
              </w:rPr>
              <w:t>Publications Completed During This Thesis Period</w:t>
            </w:r>
            <w:r w:rsidR="00983692">
              <w:rPr>
                <w:noProof/>
                <w:webHidden/>
              </w:rPr>
              <w:tab/>
            </w:r>
            <w:r>
              <w:rPr>
                <w:noProof/>
                <w:webHidden/>
              </w:rPr>
              <w:fldChar w:fldCharType="begin"/>
            </w:r>
            <w:r>
              <w:rPr>
                <w:noProof/>
                <w:webHidden/>
              </w:rPr>
              <w:instrText xml:space="preserve"> PAGEREF _Toc181362877 \h </w:instrText>
            </w:r>
            <w:r>
              <w:rPr>
                <w:noProof/>
                <w:webHidden/>
              </w:rPr>
            </w:r>
            <w:r>
              <w:rPr>
                <w:noProof/>
                <w:webHidden/>
              </w:rPr>
              <w:fldChar w:fldCharType="separate"/>
            </w:r>
            <w:r w:rsidR="00983692">
              <w:rPr>
                <w:noProof/>
                <w:webHidden/>
              </w:rPr>
              <w:t>Vii</w:t>
            </w:r>
            <w:r>
              <w:rPr>
                <w:noProof/>
                <w:webHidden/>
              </w:rPr>
              <w:fldChar w:fldCharType="end"/>
            </w:r>
          </w:hyperlink>
        </w:p>
        <w:p w14:paraId="6E096668" w14:textId="5C083B44" w:rsidR="004447E8" w:rsidRDefault="004447E8">
          <w:pPr>
            <w:pStyle w:val="TOC1"/>
            <w:tabs>
              <w:tab w:val="right" w:leader="dot" w:pos="9350"/>
            </w:tabs>
            <w:rPr>
              <w:rFonts w:eastAsiaTheme="minorEastAsia"/>
              <w:noProof/>
              <w:kern w:val="2"/>
              <w:lang w:val="en-US"/>
              <w14:ligatures w14:val="standardContextual"/>
            </w:rPr>
          </w:pPr>
          <w:hyperlink w:anchor="_Toc181362878" w:history="1">
            <w:r w:rsidR="00983692" w:rsidRPr="006A32BE">
              <w:rPr>
                <w:rStyle w:val="Hyperlink"/>
                <w:rFonts w:eastAsia="Calibri"/>
                <w:noProof/>
              </w:rPr>
              <w:t>Credit Authorship Statement</w:t>
            </w:r>
            <w:r w:rsidR="00983692">
              <w:rPr>
                <w:noProof/>
                <w:webHidden/>
              </w:rPr>
              <w:tab/>
            </w:r>
            <w:r>
              <w:rPr>
                <w:noProof/>
                <w:webHidden/>
              </w:rPr>
              <w:fldChar w:fldCharType="begin"/>
            </w:r>
            <w:r>
              <w:rPr>
                <w:noProof/>
                <w:webHidden/>
              </w:rPr>
              <w:instrText xml:space="preserve"> PAGEREF _Toc181362878 \h </w:instrText>
            </w:r>
            <w:r>
              <w:rPr>
                <w:noProof/>
                <w:webHidden/>
              </w:rPr>
            </w:r>
            <w:r>
              <w:rPr>
                <w:noProof/>
                <w:webHidden/>
              </w:rPr>
              <w:fldChar w:fldCharType="separate"/>
            </w:r>
            <w:r w:rsidR="00983692">
              <w:rPr>
                <w:noProof/>
                <w:webHidden/>
              </w:rPr>
              <w:t>Ix</w:t>
            </w:r>
            <w:r>
              <w:rPr>
                <w:noProof/>
                <w:webHidden/>
              </w:rPr>
              <w:fldChar w:fldCharType="end"/>
            </w:r>
          </w:hyperlink>
        </w:p>
        <w:p w14:paraId="79AA8A34" w14:textId="18D7DCEE" w:rsidR="004447E8" w:rsidRDefault="004447E8">
          <w:pPr>
            <w:pStyle w:val="TOC1"/>
            <w:tabs>
              <w:tab w:val="right" w:leader="dot" w:pos="9350"/>
            </w:tabs>
            <w:rPr>
              <w:rFonts w:eastAsiaTheme="minorEastAsia"/>
              <w:noProof/>
              <w:kern w:val="2"/>
              <w:lang w:val="en-US"/>
              <w14:ligatures w14:val="standardContextual"/>
            </w:rPr>
          </w:pPr>
          <w:hyperlink w:anchor="_Toc181362879" w:history="1">
            <w:r w:rsidR="00983692" w:rsidRPr="006A32BE">
              <w:rPr>
                <w:rStyle w:val="Hyperlink"/>
                <w:rFonts w:eastAsia="Calibri"/>
                <w:noProof/>
              </w:rPr>
              <w:t>Chapter 1: Introduction</w:t>
            </w:r>
            <w:r w:rsidR="00983692">
              <w:rPr>
                <w:noProof/>
                <w:webHidden/>
              </w:rPr>
              <w:tab/>
            </w:r>
            <w:r>
              <w:rPr>
                <w:noProof/>
                <w:webHidden/>
              </w:rPr>
              <w:fldChar w:fldCharType="begin"/>
            </w:r>
            <w:r>
              <w:rPr>
                <w:noProof/>
                <w:webHidden/>
              </w:rPr>
              <w:instrText xml:space="preserve"> PAGEREF _Toc181362879 \h </w:instrText>
            </w:r>
            <w:r>
              <w:rPr>
                <w:noProof/>
                <w:webHidden/>
              </w:rPr>
            </w:r>
            <w:r>
              <w:rPr>
                <w:noProof/>
                <w:webHidden/>
              </w:rPr>
              <w:fldChar w:fldCharType="separate"/>
            </w:r>
            <w:r w:rsidR="00983692">
              <w:rPr>
                <w:noProof/>
                <w:webHidden/>
              </w:rPr>
              <w:t>1</w:t>
            </w:r>
            <w:r>
              <w:rPr>
                <w:noProof/>
                <w:webHidden/>
              </w:rPr>
              <w:fldChar w:fldCharType="end"/>
            </w:r>
          </w:hyperlink>
        </w:p>
        <w:p w14:paraId="1E84F8C9" w14:textId="72914E18" w:rsidR="004447E8" w:rsidRDefault="004447E8">
          <w:pPr>
            <w:pStyle w:val="TOC1"/>
            <w:tabs>
              <w:tab w:val="right" w:leader="dot" w:pos="9350"/>
            </w:tabs>
            <w:rPr>
              <w:rFonts w:eastAsiaTheme="minorEastAsia"/>
              <w:noProof/>
              <w:kern w:val="2"/>
              <w:lang w:val="en-US"/>
              <w14:ligatures w14:val="standardContextual"/>
            </w:rPr>
          </w:pPr>
          <w:hyperlink w:anchor="_Toc181362880" w:history="1">
            <w:r w:rsidR="00983692" w:rsidRPr="006A32BE">
              <w:rPr>
                <w:rStyle w:val="Hyperlink"/>
                <w:noProof/>
              </w:rPr>
              <w:t>Chapter 2: Anxiety, History Of Childhood Adversity, And Experiencing Chronic Pain In Adulthood: A Systematic Literature Review And Meta-Analysis</w:t>
            </w:r>
            <w:r w:rsidR="00983692">
              <w:rPr>
                <w:noProof/>
                <w:webHidden/>
              </w:rPr>
              <w:tab/>
            </w:r>
            <w:r>
              <w:rPr>
                <w:noProof/>
                <w:webHidden/>
              </w:rPr>
              <w:fldChar w:fldCharType="begin"/>
            </w:r>
            <w:r>
              <w:rPr>
                <w:noProof/>
                <w:webHidden/>
              </w:rPr>
              <w:instrText xml:space="preserve"> PAGEREF _Toc181362880 \h </w:instrText>
            </w:r>
            <w:r>
              <w:rPr>
                <w:noProof/>
                <w:webHidden/>
              </w:rPr>
            </w:r>
            <w:r>
              <w:rPr>
                <w:noProof/>
                <w:webHidden/>
              </w:rPr>
              <w:fldChar w:fldCharType="separate"/>
            </w:r>
            <w:r w:rsidR="00983692">
              <w:rPr>
                <w:noProof/>
                <w:webHidden/>
              </w:rPr>
              <w:t>20</w:t>
            </w:r>
            <w:r>
              <w:rPr>
                <w:noProof/>
                <w:webHidden/>
              </w:rPr>
              <w:fldChar w:fldCharType="end"/>
            </w:r>
          </w:hyperlink>
        </w:p>
        <w:p w14:paraId="6E48EF4A" w14:textId="3E5E25A3" w:rsidR="004447E8" w:rsidRDefault="004447E8">
          <w:pPr>
            <w:pStyle w:val="TOC1"/>
            <w:tabs>
              <w:tab w:val="right" w:leader="dot" w:pos="9350"/>
            </w:tabs>
            <w:rPr>
              <w:rFonts w:eastAsiaTheme="minorEastAsia"/>
              <w:noProof/>
              <w:kern w:val="2"/>
              <w:lang w:val="en-US"/>
              <w14:ligatures w14:val="standardContextual"/>
            </w:rPr>
          </w:pPr>
          <w:hyperlink w:anchor="_Toc181362881" w:history="1">
            <w:r w:rsidR="00983692" w:rsidRPr="006A32BE">
              <w:rPr>
                <w:rStyle w:val="Hyperlink"/>
                <w:noProof/>
              </w:rPr>
              <w:t>Chapter 3: Uk-Based Study—An Analysis On History Of Childhood Adversity, Anxiety, And Chronic Pain In Adulthood And The Influence Of Inflammatory Biomarker C-Reactive Protein</w:t>
            </w:r>
            <w:r w:rsidR="00983692">
              <w:rPr>
                <w:noProof/>
                <w:webHidden/>
              </w:rPr>
              <w:tab/>
            </w:r>
            <w:r>
              <w:rPr>
                <w:noProof/>
                <w:webHidden/>
              </w:rPr>
              <w:fldChar w:fldCharType="begin"/>
            </w:r>
            <w:r>
              <w:rPr>
                <w:noProof/>
                <w:webHidden/>
              </w:rPr>
              <w:instrText xml:space="preserve"> PAGEREF _Toc181362881 \h </w:instrText>
            </w:r>
            <w:r>
              <w:rPr>
                <w:noProof/>
                <w:webHidden/>
              </w:rPr>
            </w:r>
            <w:r>
              <w:rPr>
                <w:noProof/>
                <w:webHidden/>
              </w:rPr>
              <w:fldChar w:fldCharType="separate"/>
            </w:r>
            <w:r w:rsidR="00983692">
              <w:rPr>
                <w:noProof/>
                <w:webHidden/>
              </w:rPr>
              <w:t>66</w:t>
            </w:r>
            <w:r>
              <w:rPr>
                <w:noProof/>
                <w:webHidden/>
              </w:rPr>
              <w:fldChar w:fldCharType="end"/>
            </w:r>
          </w:hyperlink>
        </w:p>
        <w:p w14:paraId="7F10D387" w14:textId="3780A714" w:rsidR="004447E8" w:rsidRDefault="004447E8">
          <w:pPr>
            <w:pStyle w:val="TOC1"/>
            <w:tabs>
              <w:tab w:val="right" w:leader="dot" w:pos="9350"/>
            </w:tabs>
            <w:rPr>
              <w:rFonts w:eastAsiaTheme="minorEastAsia"/>
              <w:noProof/>
              <w:kern w:val="2"/>
              <w:lang w:val="en-US"/>
              <w14:ligatures w14:val="standardContextual"/>
            </w:rPr>
          </w:pPr>
          <w:hyperlink w:anchor="_Toc181362882" w:history="1">
            <w:r w:rsidR="00983692" w:rsidRPr="006A32BE">
              <w:rPr>
                <w:rStyle w:val="Hyperlink"/>
                <w:noProof/>
              </w:rPr>
              <w:t>Chapter 4: Us-Based Registered Report—An Analysis On The Impact Of Childhood Adversity, Anxiety, And C-Reactive Protein On Adult Chronic Pain In The Midlife In The United States (Midus) Study</w:t>
            </w:r>
            <w:r w:rsidR="00983692">
              <w:rPr>
                <w:noProof/>
                <w:webHidden/>
              </w:rPr>
              <w:tab/>
            </w:r>
            <w:r>
              <w:rPr>
                <w:noProof/>
                <w:webHidden/>
              </w:rPr>
              <w:fldChar w:fldCharType="begin"/>
            </w:r>
            <w:r>
              <w:rPr>
                <w:noProof/>
                <w:webHidden/>
              </w:rPr>
              <w:instrText xml:space="preserve"> PAGEREF _Toc181362882 \h </w:instrText>
            </w:r>
            <w:r>
              <w:rPr>
                <w:noProof/>
                <w:webHidden/>
              </w:rPr>
            </w:r>
            <w:r>
              <w:rPr>
                <w:noProof/>
                <w:webHidden/>
              </w:rPr>
              <w:fldChar w:fldCharType="separate"/>
            </w:r>
            <w:r w:rsidR="00983692">
              <w:rPr>
                <w:noProof/>
                <w:webHidden/>
              </w:rPr>
              <w:t>93</w:t>
            </w:r>
            <w:r>
              <w:rPr>
                <w:noProof/>
                <w:webHidden/>
              </w:rPr>
              <w:fldChar w:fldCharType="end"/>
            </w:r>
          </w:hyperlink>
        </w:p>
        <w:p w14:paraId="438FE6BE" w14:textId="653AB699" w:rsidR="004447E8" w:rsidRDefault="004447E8">
          <w:pPr>
            <w:pStyle w:val="TOC1"/>
            <w:tabs>
              <w:tab w:val="right" w:leader="dot" w:pos="9350"/>
            </w:tabs>
            <w:rPr>
              <w:rFonts w:eastAsiaTheme="minorEastAsia"/>
              <w:noProof/>
              <w:kern w:val="2"/>
              <w:lang w:val="en-US"/>
              <w14:ligatures w14:val="standardContextual"/>
            </w:rPr>
          </w:pPr>
          <w:hyperlink w:anchor="_Toc181362883" w:history="1">
            <w:r w:rsidR="00983692" w:rsidRPr="006A32BE">
              <w:rPr>
                <w:rStyle w:val="Hyperlink"/>
                <w:noProof/>
              </w:rPr>
              <w:t>Chapter 5: Discussion</w:t>
            </w:r>
            <w:r w:rsidR="00983692">
              <w:rPr>
                <w:noProof/>
                <w:webHidden/>
              </w:rPr>
              <w:tab/>
            </w:r>
            <w:r>
              <w:rPr>
                <w:noProof/>
                <w:webHidden/>
              </w:rPr>
              <w:fldChar w:fldCharType="begin"/>
            </w:r>
            <w:r>
              <w:rPr>
                <w:noProof/>
                <w:webHidden/>
              </w:rPr>
              <w:instrText xml:space="preserve"> PAGEREF _Toc181362883 \h </w:instrText>
            </w:r>
            <w:r>
              <w:rPr>
                <w:noProof/>
                <w:webHidden/>
              </w:rPr>
            </w:r>
            <w:r>
              <w:rPr>
                <w:noProof/>
                <w:webHidden/>
              </w:rPr>
              <w:fldChar w:fldCharType="separate"/>
            </w:r>
            <w:r w:rsidR="00983692">
              <w:rPr>
                <w:noProof/>
                <w:webHidden/>
              </w:rPr>
              <w:t>143</w:t>
            </w:r>
            <w:r>
              <w:rPr>
                <w:noProof/>
                <w:webHidden/>
              </w:rPr>
              <w:fldChar w:fldCharType="end"/>
            </w:r>
          </w:hyperlink>
        </w:p>
        <w:p w14:paraId="0293D4E1" w14:textId="633FADBB" w:rsidR="004447E8" w:rsidRDefault="004447E8">
          <w:pPr>
            <w:pStyle w:val="TOC1"/>
            <w:tabs>
              <w:tab w:val="right" w:leader="dot" w:pos="9350"/>
            </w:tabs>
            <w:rPr>
              <w:rFonts w:eastAsiaTheme="minorEastAsia"/>
              <w:noProof/>
              <w:kern w:val="2"/>
              <w:lang w:val="en-US"/>
              <w14:ligatures w14:val="standardContextual"/>
            </w:rPr>
          </w:pPr>
          <w:hyperlink w:anchor="_Toc181362884" w:history="1">
            <w:r w:rsidR="00983692" w:rsidRPr="006A32BE">
              <w:rPr>
                <w:rStyle w:val="Hyperlink"/>
                <w:noProof/>
              </w:rPr>
              <w:t>Supplemental Materials</w:t>
            </w:r>
            <w:r w:rsidR="00983692">
              <w:rPr>
                <w:noProof/>
                <w:webHidden/>
              </w:rPr>
              <w:tab/>
            </w:r>
            <w:r>
              <w:rPr>
                <w:noProof/>
                <w:webHidden/>
              </w:rPr>
              <w:fldChar w:fldCharType="begin"/>
            </w:r>
            <w:r>
              <w:rPr>
                <w:noProof/>
                <w:webHidden/>
              </w:rPr>
              <w:instrText xml:space="preserve"> PAGEREF _Toc181362884 \h </w:instrText>
            </w:r>
            <w:r>
              <w:rPr>
                <w:noProof/>
                <w:webHidden/>
              </w:rPr>
            </w:r>
            <w:r>
              <w:rPr>
                <w:noProof/>
                <w:webHidden/>
              </w:rPr>
              <w:fldChar w:fldCharType="separate"/>
            </w:r>
            <w:r w:rsidR="00983692">
              <w:rPr>
                <w:noProof/>
                <w:webHidden/>
              </w:rPr>
              <w:t>164</w:t>
            </w:r>
            <w:r>
              <w:rPr>
                <w:noProof/>
                <w:webHidden/>
              </w:rPr>
              <w:fldChar w:fldCharType="end"/>
            </w:r>
          </w:hyperlink>
        </w:p>
        <w:p w14:paraId="7C5A64A5" w14:textId="0AC49BAA" w:rsidR="004447E8" w:rsidRDefault="004447E8">
          <w:pPr>
            <w:pStyle w:val="TOC1"/>
            <w:tabs>
              <w:tab w:val="right" w:leader="dot" w:pos="9350"/>
            </w:tabs>
            <w:rPr>
              <w:rFonts w:eastAsiaTheme="minorEastAsia"/>
              <w:noProof/>
              <w:kern w:val="2"/>
              <w:lang w:val="en-US"/>
              <w14:ligatures w14:val="standardContextual"/>
            </w:rPr>
          </w:pPr>
          <w:hyperlink w:anchor="_Toc181362885" w:history="1">
            <w:r w:rsidR="00983692" w:rsidRPr="006A32BE">
              <w:rPr>
                <w:rStyle w:val="Hyperlink"/>
                <w:noProof/>
              </w:rPr>
              <w:t>Chapter 2 Supplemental</w:t>
            </w:r>
            <w:r w:rsidR="00983692">
              <w:rPr>
                <w:noProof/>
                <w:webHidden/>
              </w:rPr>
              <w:tab/>
            </w:r>
            <w:r>
              <w:rPr>
                <w:noProof/>
                <w:webHidden/>
              </w:rPr>
              <w:fldChar w:fldCharType="begin"/>
            </w:r>
            <w:r>
              <w:rPr>
                <w:noProof/>
                <w:webHidden/>
              </w:rPr>
              <w:instrText xml:space="preserve"> PAGEREF _Toc181362885 \h </w:instrText>
            </w:r>
            <w:r>
              <w:rPr>
                <w:noProof/>
                <w:webHidden/>
              </w:rPr>
            </w:r>
            <w:r>
              <w:rPr>
                <w:noProof/>
                <w:webHidden/>
              </w:rPr>
              <w:fldChar w:fldCharType="separate"/>
            </w:r>
            <w:r w:rsidR="00983692">
              <w:rPr>
                <w:noProof/>
                <w:webHidden/>
              </w:rPr>
              <w:t>165</w:t>
            </w:r>
            <w:r>
              <w:rPr>
                <w:noProof/>
                <w:webHidden/>
              </w:rPr>
              <w:fldChar w:fldCharType="end"/>
            </w:r>
          </w:hyperlink>
        </w:p>
        <w:p w14:paraId="32D414E4" w14:textId="23469B98" w:rsidR="004447E8" w:rsidRDefault="004447E8">
          <w:pPr>
            <w:pStyle w:val="TOC1"/>
            <w:tabs>
              <w:tab w:val="right" w:leader="dot" w:pos="9350"/>
            </w:tabs>
            <w:rPr>
              <w:rFonts w:eastAsiaTheme="minorEastAsia"/>
              <w:noProof/>
              <w:kern w:val="2"/>
              <w:lang w:val="en-US"/>
              <w14:ligatures w14:val="standardContextual"/>
            </w:rPr>
          </w:pPr>
          <w:hyperlink w:anchor="_Toc181362886" w:history="1">
            <w:r w:rsidR="00983692" w:rsidRPr="006A32BE">
              <w:rPr>
                <w:rStyle w:val="Hyperlink"/>
                <w:noProof/>
              </w:rPr>
              <w:t>Chapter 3 Supplemental</w:t>
            </w:r>
            <w:r w:rsidR="00983692">
              <w:rPr>
                <w:noProof/>
                <w:webHidden/>
              </w:rPr>
              <w:tab/>
            </w:r>
            <w:r>
              <w:rPr>
                <w:noProof/>
                <w:webHidden/>
              </w:rPr>
              <w:fldChar w:fldCharType="begin"/>
            </w:r>
            <w:r>
              <w:rPr>
                <w:noProof/>
                <w:webHidden/>
              </w:rPr>
              <w:instrText xml:space="preserve"> PAGEREF _Toc181362886 \h </w:instrText>
            </w:r>
            <w:r>
              <w:rPr>
                <w:noProof/>
                <w:webHidden/>
              </w:rPr>
            </w:r>
            <w:r>
              <w:rPr>
                <w:noProof/>
                <w:webHidden/>
              </w:rPr>
              <w:fldChar w:fldCharType="separate"/>
            </w:r>
            <w:r w:rsidR="00983692">
              <w:rPr>
                <w:noProof/>
                <w:webHidden/>
              </w:rPr>
              <w:t>178</w:t>
            </w:r>
            <w:r>
              <w:rPr>
                <w:noProof/>
                <w:webHidden/>
              </w:rPr>
              <w:fldChar w:fldCharType="end"/>
            </w:r>
          </w:hyperlink>
        </w:p>
        <w:p w14:paraId="0D323E7B" w14:textId="0FF4F7CC" w:rsidR="004447E8" w:rsidRDefault="004447E8">
          <w:pPr>
            <w:pStyle w:val="TOC1"/>
            <w:tabs>
              <w:tab w:val="right" w:leader="dot" w:pos="9350"/>
            </w:tabs>
            <w:rPr>
              <w:rFonts w:eastAsiaTheme="minorEastAsia"/>
              <w:noProof/>
              <w:kern w:val="2"/>
              <w:lang w:val="en-US"/>
              <w14:ligatures w14:val="standardContextual"/>
            </w:rPr>
          </w:pPr>
          <w:hyperlink w:anchor="_Toc181362887" w:history="1">
            <w:r w:rsidR="00983692" w:rsidRPr="006A32BE">
              <w:rPr>
                <w:rStyle w:val="Hyperlink"/>
                <w:rFonts w:eastAsia="Calibri"/>
                <w:noProof/>
              </w:rPr>
              <w:t>Chapter 4 Supplemental</w:t>
            </w:r>
            <w:r w:rsidR="00983692">
              <w:rPr>
                <w:noProof/>
                <w:webHidden/>
              </w:rPr>
              <w:tab/>
            </w:r>
            <w:r>
              <w:rPr>
                <w:noProof/>
                <w:webHidden/>
              </w:rPr>
              <w:fldChar w:fldCharType="begin"/>
            </w:r>
            <w:r>
              <w:rPr>
                <w:noProof/>
                <w:webHidden/>
              </w:rPr>
              <w:instrText xml:space="preserve"> PAGEREF _Toc181362887 \h </w:instrText>
            </w:r>
            <w:r>
              <w:rPr>
                <w:noProof/>
                <w:webHidden/>
              </w:rPr>
            </w:r>
            <w:r>
              <w:rPr>
                <w:noProof/>
                <w:webHidden/>
              </w:rPr>
              <w:fldChar w:fldCharType="separate"/>
            </w:r>
            <w:r w:rsidR="00983692">
              <w:rPr>
                <w:noProof/>
                <w:webHidden/>
              </w:rPr>
              <w:t>194</w:t>
            </w:r>
            <w:r>
              <w:rPr>
                <w:noProof/>
                <w:webHidden/>
              </w:rPr>
              <w:fldChar w:fldCharType="end"/>
            </w:r>
          </w:hyperlink>
        </w:p>
        <w:p w14:paraId="5B93AB61" w14:textId="0C6E1B1B" w:rsidR="004447E8" w:rsidRDefault="004447E8">
          <w:pPr>
            <w:pStyle w:val="TOC1"/>
            <w:tabs>
              <w:tab w:val="right" w:leader="dot" w:pos="9350"/>
            </w:tabs>
            <w:rPr>
              <w:rFonts w:eastAsiaTheme="minorEastAsia"/>
              <w:noProof/>
              <w:kern w:val="2"/>
              <w:lang w:val="en-US"/>
              <w14:ligatures w14:val="standardContextual"/>
            </w:rPr>
          </w:pPr>
          <w:hyperlink w:anchor="_Toc181362888" w:history="1">
            <w:r w:rsidR="00983692" w:rsidRPr="006A32BE">
              <w:rPr>
                <w:rStyle w:val="Hyperlink"/>
                <w:noProof/>
              </w:rPr>
              <w:t>Supplemental Publications</w:t>
            </w:r>
            <w:r w:rsidR="00983692">
              <w:rPr>
                <w:noProof/>
                <w:webHidden/>
              </w:rPr>
              <w:tab/>
            </w:r>
            <w:r>
              <w:rPr>
                <w:noProof/>
                <w:webHidden/>
              </w:rPr>
              <w:fldChar w:fldCharType="begin"/>
            </w:r>
            <w:r>
              <w:rPr>
                <w:noProof/>
                <w:webHidden/>
              </w:rPr>
              <w:instrText xml:space="preserve"> PAGEREF _Toc181362888 \h </w:instrText>
            </w:r>
            <w:r>
              <w:rPr>
                <w:noProof/>
                <w:webHidden/>
              </w:rPr>
            </w:r>
            <w:r>
              <w:rPr>
                <w:noProof/>
                <w:webHidden/>
              </w:rPr>
              <w:fldChar w:fldCharType="separate"/>
            </w:r>
            <w:r w:rsidR="00983692">
              <w:rPr>
                <w:noProof/>
                <w:webHidden/>
              </w:rPr>
              <w:t>221</w:t>
            </w:r>
            <w:r>
              <w:rPr>
                <w:noProof/>
                <w:webHidden/>
              </w:rPr>
              <w:fldChar w:fldCharType="end"/>
            </w:r>
          </w:hyperlink>
        </w:p>
        <w:p w14:paraId="6B6B13D8" w14:textId="4B229901" w:rsidR="00B93217" w:rsidRDefault="00B93217">
          <w:r>
            <w:rPr>
              <w:b/>
              <w:bCs/>
              <w:noProof/>
            </w:rPr>
            <w:fldChar w:fldCharType="end"/>
          </w:r>
        </w:p>
      </w:sdtContent>
    </w:sdt>
    <w:p w14:paraId="62CE1C65" w14:textId="77777777" w:rsidR="002D1216" w:rsidRPr="00CD2F5C" w:rsidRDefault="002D1216" w:rsidP="00CD2F5C">
      <w:pPr>
        <w:spacing w:after="0" w:line="240" w:lineRule="auto"/>
        <w:contextualSpacing/>
        <w:rPr>
          <w:rFonts w:ascii="Cambria" w:eastAsia="Calibri" w:hAnsi="Cambria" w:cs="Times New Roman"/>
          <w:sz w:val="24"/>
          <w:szCs w:val="24"/>
        </w:rPr>
      </w:pPr>
    </w:p>
    <w:p w14:paraId="18244322" w14:textId="77777777" w:rsidR="002D1216" w:rsidRPr="00CD2F5C" w:rsidRDefault="002D1216" w:rsidP="002D1216">
      <w:pPr>
        <w:spacing w:after="0" w:line="240" w:lineRule="auto"/>
        <w:contextualSpacing/>
        <w:jc w:val="right"/>
        <w:rPr>
          <w:rFonts w:ascii="Cambria" w:eastAsia="Calibri" w:hAnsi="Cambria" w:cs="Times New Roman"/>
          <w:sz w:val="24"/>
          <w:szCs w:val="24"/>
        </w:rPr>
      </w:pPr>
    </w:p>
    <w:p w14:paraId="42302D2B" w14:textId="77777777" w:rsidR="002D1216" w:rsidRPr="00CD2F5C" w:rsidRDefault="002D1216" w:rsidP="002D1216">
      <w:pPr>
        <w:spacing w:after="0" w:line="240" w:lineRule="auto"/>
        <w:contextualSpacing/>
        <w:jc w:val="right"/>
        <w:rPr>
          <w:rFonts w:ascii="Cambria" w:eastAsia="Calibri" w:hAnsi="Cambria" w:cs="Times New Roman"/>
          <w:sz w:val="24"/>
          <w:szCs w:val="24"/>
        </w:rPr>
      </w:pPr>
    </w:p>
    <w:bookmarkEnd w:id="0"/>
    <w:p w14:paraId="4D419ED7" w14:textId="77777777" w:rsidR="002D1216" w:rsidRPr="00CD2F5C" w:rsidRDefault="002D1216" w:rsidP="002D1216">
      <w:pPr>
        <w:spacing w:after="0" w:line="240" w:lineRule="auto"/>
        <w:contextualSpacing/>
        <w:jc w:val="right"/>
        <w:rPr>
          <w:rFonts w:ascii="Cambria" w:eastAsia="Calibri" w:hAnsi="Cambria" w:cs="Times New Roman"/>
          <w:sz w:val="24"/>
          <w:szCs w:val="24"/>
        </w:rPr>
      </w:pPr>
    </w:p>
    <w:p w14:paraId="69777E3C" w14:textId="77777777" w:rsidR="002D1216" w:rsidRPr="00CD2F5C" w:rsidRDefault="002D1216" w:rsidP="002D1216">
      <w:pPr>
        <w:spacing w:after="0" w:line="240" w:lineRule="auto"/>
        <w:contextualSpacing/>
        <w:jc w:val="right"/>
        <w:rPr>
          <w:rFonts w:ascii="Cambria" w:eastAsia="Calibri" w:hAnsi="Cambria" w:cs="Times New Roman"/>
          <w:sz w:val="24"/>
          <w:szCs w:val="24"/>
        </w:rPr>
      </w:pPr>
    </w:p>
    <w:p w14:paraId="2832C5B9" w14:textId="77777777" w:rsidR="002D1216" w:rsidRPr="00CD2F5C" w:rsidRDefault="002D1216" w:rsidP="002D1216">
      <w:pPr>
        <w:spacing w:line="240" w:lineRule="auto"/>
        <w:contextualSpacing/>
        <w:jc w:val="right"/>
        <w:rPr>
          <w:rFonts w:ascii="Cambria" w:eastAsia="Calibri" w:hAnsi="Cambria" w:cs="Times New Roman"/>
          <w:sz w:val="24"/>
          <w:szCs w:val="24"/>
        </w:rPr>
      </w:pPr>
    </w:p>
    <w:p w14:paraId="3ED822B3" w14:textId="77777777" w:rsidR="002D1216" w:rsidRPr="00CD2F5C" w:rsidRDefault="002D1216" w:rsidP="002D1216">
      <w:pPr>
        <w:spacing w:line="240" w:lineRule="auto"/>
        <w:contextualSpacing/>
        <w:rPr>
          <w:rFonts w:ascii="Cambria" w:eastAsia="Calibri" w:hAnsi="Cambria" w:cs="Times New Roman"/>
          <w:sz w:val="24"/>
          <w:szCs w:val="24"/>
        </w:rPr>
      </w:pPr>
    </w:p>
    <w:p w14:paraId="04B7F45D" w14:textId="77777777" w:rsidR="002D1216" w:rsidRPr="00CD2F5C" w:rsidRDefault="002D1216" w:rsidP="002D1216">
      <w:pPr>
        <w:rPr>
          <w:rFonts w:ascii="Cambria" w:eastAsia="Calibri" w:hAnsi="Cambria" w:cs="Calibri"/>
          <w:b/>
          <w:sz w:val="28"/>
          <w:szCs w:val="24"/>
        </w:rPr>
      </w:pPr>
      <w:r w:rsidRPr="00CD2F5C">
        <w:rPr>
          <w:rFonts w:ascii="Cambria" w:eastAsia="Calibri" w:hAnsi="Cambria" w:cs="Calibri"/>
          <w:b/>
          <w:sz w:val="28"/>
          <w:szCs w:val="24"/>
        </w:rPr>
        <w:br w:type="page"/>
      </w:r>
    </w:p>
    <w:p w14:paraId="78249F5F" w14:textId="77777777" w:rsidR="002D1216" w:rsidRPr="00CD2F5C" w:rsidRDefault="002D1216" w:rsidP="002D1216">
      <w:pPr>
        <w:jc w:val="center"/>
        <w:rPr>
          <w:rFonts w:ascii="Cambria" w:eastAsia="Calibri" w:hAnsi="Cambria" w:cs="Calibri"/>
          <w:sz w:val="24"/>
          <w:szCs w:val="24"/>
        </w:rPr>
      </w:pPr>
    </w:p>
    <w:p w14:paraId="1987AC76" w14:textId="64848A56" w:rsidR="002D1216" w:rsidRPr="00B93217" w:rsidRDefault="002D1216" w:rsidP="00B93217">
      <w:pPr>
        <w:pStyle w:val="Heading11"/>
        <w:jc w:val="center"/>
        <w:rPr>
          <w:rFonts w:asciiTheme="minorHAnsi" w:eastAsiaTheme="minorHAnsi" w:hAnsiTheme="minorHAnsi" w:cstheme="minorBidi"/>
          <w:sz w:val="22"/>
          <w:szCs w:val="22"/>
        </w:rPr>
      </w:pPr>
      <w:bookmarkStart w:id="5" w:name="_Toc181362875"/>
      <w:r w:rsidRPr="00CD2F5C">
        <w:rPr>
          <w:rFonts w:eastAsia="Calibri"/>
        </w:rPr>
        <w:t>LIST OF ABBREVIATIONS</w:t>
      </w:r>
      <w:bookmarkEnd w:id="5"/>
    </w:p>
    <w:p w14:paraId="04EFFD4B" w14:textId="77777777" w:rsidR="002D1216" w:rsidRPr="00CD2F5C" w:rsidRDefault="002D1216" w:rsidP="002D1216">
      <w:pPr>
        <w:rPr>
          <w:rFonts w:ascii="Cambria" w:eastAsia="Calibri" w:hAnsi="Cambria" w:cs="Calibri"/>
          <w:sz w:val="24"/>
          <w:szCs w:val="24"/>
        </w:rPr>
      </w:pPr>
    </w:p>
    <w:p w14:paraId="477C846B" w14:textId="0D513EFF" w:rsid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ACE, adverse childhood experience</w:t>
      </w:r>
    </w:p>
    <w:p w14:paraId="25FD379C" w14:textId="53D41341" w:rsidR="00B93217" w:rsidRPr="00B93217" w:rsidRDefault="00B93217" w:rsidP="00B93217">
      <w:pPr>
        <w:rPr>
          <w:rFonts w:ascii="Cambria" w:eastAsia="Calibri" w:hAnsi="Cambria" w:cs="Calibri"/>
          <w:sz w:val="24"/>
          <w:szCs w:val="24"/>
          <w:lang w:val="en-US"/>
        </w:rPr>
      </w:pPr>
      <w:r>
        <w:rPr>
          <w:rFonts w:ascii="Cambria" w:eastAsia="Calibri" w:hAnsi="Cambria" w:cs="Calibri"/>
          <w:sz w:val="24"/>
          <w:szCs w:val="24"/>
          <w:lang w:val="en-US"/>
        </w:rPr>
        <w:t>CA, childhood adversity</w:t>
      </w:r>
    </w:p>
    <w:p w14:paraId="0EF0D464" w14:textId="77777777"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CRP, C-reactive protein</w:t>
      </w:r>
    </w:p>
    <w:p w14:paraId="4810B9CC" w14:textId="77777777" w:rsid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 xml:space="preserve">CTQ, childhood trauma questionnaire </w:t>
      </w:r>
    </w:p>
    <w:p w14:paraId="3AEA9095" w14:textId="03E0FA20" w:rsidR="00B93217" w:rsidRDefault="00B93217" w:rsidP="00B93217">
      <w:pPr>
        <w:rPr>
          <w:rFonts w:ascii="Cambria" w:eastAsia="Calibri" w:hAnsi="Cambria" w:cs="Calibri"/>
          <w:sz w:val="24"/>
          <w:szCs w:val="24"/>
          <w:lang w:val="en-US"/>
        </w:rPr>
      </w:pPr>
      <w:r w:rsidRPr="1441A89E">
        <w:rPr>
          <w:rFonts w:ascii="Cambria" w:eastAsia="Calibri" w:hAnsi="Cambria" w:cs="Calibri"/>
          <w:sz w:val="24"/>
          <w:szCs w:val="24"/>
          <w:lang w:val="en-US"/>
        </w:rPr>
        <w:t>DV, domestic violence</w:t>
      </w:r>
    </w:p>
    <w:p w14:paraId="525DB35E" w14:textId="65D05249" w:rsidR="5D375697" w:rsidRDefault="5D375697" w:rsidP="1441A89E">
      <w:pPr>
        <w:rPr>
          <w:rFonts w:ascii="Cambria" w:eastAsia="Calibri" w:hAnsi="Cambria" w:cs="Calibri"/>
          <w:sz w:val="24"/>
          <w:szCs w:val="24"/>
          <w:lang w:val="en-US"/>
        </w:rPr>
      </w:pPr>
      <w:r w:rsidRPr="1441A89E">
        <w:rPr>
          <w:rFonts w:ascii="Cambria" w:eastAsia="Calibri" w:hAnsi="Cambria" w:cs="Calibri"/>
          <w:sz w:val="24"/>
          <w:szCs w:val="24"/>
          <w:lang w:val="en-US"/>
        </w:rPr>
        <w:t xml:space="preserve">ESR, erythrocyte sedimentation rate   </w:t>
      </w:r>
    </w:p>
    <w:p w14:paraId="323FF258" w14:textId="106731CD" w:rsidR="00B93217" w:rsidRPr="00B93217" w:rsidRDefault="00B93217" w:rsidP="00B93217">
      <w:pPr>
        <w:rPr>
          <w:rFonts w:ascii="Cambria" w:eastAsia="Calibri" w:hAnsi="Cambria" w:cs="Calibri"/>
          <w:sz w:val="24"/>
          <w:szCs w:val="24"/>
          <w:lang w:val="en-US"/>
        </w:rPr>
      </w:pPr>
      <w:r>
        <w:rPr>
          <w:rFonts w:ascii="Cambria" w:eastAsia="Calibri" w:hAnsi="Cambria" w:cs="Calibri"/>
          <w:sz w:val="24"/>
          <w:szCs w:val="24"/>
          <w:lang w:val="en-US"/>
        </w:rPr>
        <w:t>GAD, generalized anxiety disorder</w:t>
      </w:r>
    </w:p>
    <w:p w14:paraId="44B4AD29" w14:textId="552E473C"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GLM, general linear model</w:t>
      </w:r>
      <w:r w:rsidR="0003790A">
        <w:rPr>
          <w:rFonts w:ascii="Cambria" w:eastAsia="Calibri" w:hAnsi="Cambria" w:cs="Calibri"/>
          <w:sz w:val="24"/>
          <w:szCs w:val="24"/>
          <w:lang w:val="en-US"/>
        </w:rPr>
        <w:t>l</w:t>
      </w:r>
      <w:r w:rsidRPr="00B93217">
        <w:rPr>
          <w:rFonts w:ascii="Cambria" w:eastAsia="Calibri" w:hAnsi="Cambria" w:cs="Calibri"/>
          <w:sz w:val="24"/>
          <w:szCs w:val="24"/>
          <w:lang w:val="en-US"/>
        </w:rPr>
        <w:t>ing</w:t>
      </w:r>
    </w:p>
    <w:p w14:paraId="6263E6DE" w14:textId="77777777"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ICD9, International Classification of Diseases, Ninth Revision</w:t>
      </w:r>
    </w:p>
    <w:p w14:paraId="2D9CBED9" w14:textId="77777777"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ICPSR, Inter-university Consortium for Political and Social Research</w:t>
      </w:r>
    </w:p>
    <w:p w14:paraId="71524965" w14:textId="77777777"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MIDUS, Midlife Development in the United States</w:t>
      </w:r>
    </w:p>
    <w:p w14:paraId="7CD69B3A" w14:textId="77777777" w:rsid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NA, not available</w:t>
      </w:r>
    </w:p>
    <w:p w14:paraId="0B30F246" w14:textId="34AEADC5" w:rsidR="00B93217" w:rsidRPr="00B93217" w:rsidRDefault="00B93217" w:rsidP="00B93217">
      <w:pPr>
        <w:rPr>
          <w:rFonts w:ascii="Cambria" w:eastAsia="Calibri" w:hAnsi="Cambria" w:cs="Calibri"/>
          <w:sz w:val="24"/>
          <w:szCs w:val="24"/>
          <w:lang w:val="en-US"/>
        </w:rPr>
      </w:pPr>
      <w:r w:rsidRPr="1441A89E">
        <w:rPr>
          <w:rFonts w:ascii="Cambria" w:eastAsia="Calibri" w:hAnsi="Cambria" w:cs="Calibri"/>
          <w:sz w:val="24"/>
          <w:szCs w:val="24"/>
          <w:lang w:val="en-US"/>
        </w:rPr>
        <w:t>PTSD, post-traumatic stress disorder</w:t>
      </w:r>
    </w:p>
    <w:p w14:paraId="351A62B3" w14:textId="70B84F47" w:rsidR="677E3A98" w:rsidRDefault="677E3A98" w:rsidP="1441A89E">
      <w:pPr>
        <w:rPr>
          <w:rFonts w:ascii="Cambria" w:eastAsia="Calibri" w:hAnsi="Cambria" w:cs="Calibri"/>
          <w:sz w:val="24"/>
          <w:szCs w:val="24"/>
          <w:lang w:val="en-US"/>
        </w:rPr>
      </w:pPr>
      <w:r w:rsidRPr="1441A89E">
        <w:rPr>
          <w:rFonts w:ascii="Cambria" w:eastAsia="Calibri" w:hAnsi="Cambria" w:cs="Calibri"/>
          <w:sz w:val="24"/>
          <w:szCs w:val="24"/>
          <w:lang w:val="en-US"/>
        </w:rPr>
        <w:t>PV, plasma viscosity</w:t>
      </w:r>
    </w:p>
    <w:p w14:paraId="500E03DE" w14:textId="1F6A3D01"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SEM, structural equational model</w:t>
      </w:r>
      <w:r w:rsidR="0003790A">
        <w:rPr>
          <w:rFonts w:ascii="Cambria" w:eastAsia="Calibri" w:hAnsi="Cambria" w:cs="Calibri"/>
          <w:sz w:val="24"/>
          <w:szCs w:val="24"/>
          <w:lang w:val="en-US"/>
        </w:rPr>
        <w:t>l</w:t>
      </w:r>
      <w:r w:rsidRPr="00B93217">
        <w:rPr>
          <w:rFonts w:ascii="Cambria" w:eastAsia="Calibri" w:hAnsi="Cambria" w:cs="Calibri"/>
          <w:sz w:val="24"/>
          <w:szCs w:val="24"/>
          <w:lang w:val="en-US"/>
        </w:rPr>
        <w:t xml:space="preserve">ing </w:t>
      </w:r>
    </w:p>
    <w:p w14:paraId="44B748F8" w14:textId="77777777"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STAI, State-Trait Anxiety Inventory</w:t>
      </w:r>
    </w:p>
    <w:p w14:paraId="46772C75" w14:textId="77777777" w:rsidR="00B93217" w:rsidRPr="00B93217" w:rsidRDefault="00B93217" w:rsidP="00B93217">
      <w:pPr>
        <w:rPr>
          <w:rFonts w:ascii="Cambria" w:eastAsia="Calibri" w:hAnsi="Cambria" w:cs="Calibri"/>
          <w:sz w:val="24"/>
          <w:szCs w:val="24"/>
          <w:lang w:val="en-US"/>
        </w:rPr>
      </w:pPr>
      <w:r w:rsidRPr="00B93217">
        <w:rPr>
          <w:rFonts w:ascii="Cambria" w:eastAsia="Calibri" w:hAnsi="Cambria" w:cs="Calibri"/>
          <w:sz w:val="24"/>
          <w:szCs w:val="24"/>
          <w:lang w:val="en-US"/>
        </w:rPr>
        <w:t>UK, United Kingdom</w:t>
      </w:r>
    </w:p>
    <w:p w14:paraId="05D4D23C" w14:textId="64F16097" w:rsidR="002D1216" w:rsidRPr="00CD2F5C" w:rsidRDefault="00B93217" w:rsidP="00B93217">
      <w:pPr>
        <w:rPr>
          <w:rFonts w:ascii="Cambria" w:eastAsia="Calibri" w:hAnsi="Cambria" w:cs="Calibri"/>
          <w:sz w:val="24"/>
          <w:szCs w:val="24"/>
        </w:rPr>
      </w:pPr>
      <w:r w:rsidRPr="00B93217">
        <w:rPr>
          <w:rFonts w:ascii="Cambria" w:eastAsia="Calibri" w:hAnsi="Cambria" w:cs="Calibri"/>
          <w:sz w:val="24"/>
          <w:szCs w:val="24"/>
          <w:lang w:val="en-US"/>
        </w:rPr>
        <w:t>US, United States</w:t>
      </w:r>
    </w:p>
    <w:p w14:paraId="5091ECD0" w14:textId="77777777" w:rsidR="002D1216" w:rsidRPr="00CD2F5C" w:rsidRDefault="002D1216" w:rsidP="002D1216">
      <w:pPr>
        <w:rPr>
          <w:rFonts w:ascii="Cambria" w:eastAsia="Calibri" w:hAnsi="Cambria" w:cs="Calibri"/>
          <w:sz w:val="24"/>
          <w:szCs w:val="24"/>
        </w:rPr>
      </w:pPr>
    </w:p>
    <w:p w14:paraId="0936B711" w14:textId="77777777" w:rsidR="002D1216" w:rsidRPr="00CD2F5C" w:rsidRDefault="002D1216" w:rsidP="002D1216">
      <w:pPr>
        <w:rPr>
          <w:rFonts w:ascii="Cambria" w:eastAsia="Calibri" w:hAnsi="Cambria" w:cs="Calibri"/>
          <w:b/>
          <w:sz w:val="28"/>
          <w:szCs w:val="28"/>
        </w:rPr>
      </w:pPr>
      <w:r w:rsidRPr="00CD2F5C">
        <w:rPr>
          <w:rFonts w:ascii="Cambria" w:eastAsia="Calibri" w:hAnsi="Cambria" w:cs="Calibri"/>
          <w:b/>
          <w:sz w:val="28"/>
          <w:szCs w:val="28"/>
        </w:rPr>
        <w:br w:type="page"/>
      </w:r>
    </w:p>
    <w:p w14:paraId="1319AFF1" w14:textId="77777777" w:rsidR="002D1216" w:rsidRPr="00CD2F5C" w:rsidRDefault="002D1216" w:rsidP="00B93217">
      <w:pPr>
        <w:pStyle w:val="Heading11"/>
        <w:jc w:val="center"/>
        <w:rPr>
          <w:rFonts w:eastAsia="Calibri"/>
        </w:rPr>
      </w:pPr>
      <w:bookmarkStart w:id="6" w:name="_Toc181362876"/>
      <w:r w:rsidRPr="00CD2F5C">
        <w:rPr>
          <w:rFonts w:eastAsia="Calibri"/>
        </w:rPr>
        <w:lastRenderedPageBreak/>
        <w:t>ACKNOWLEDGEMENTS</w:t>
      </w:r>
      <w:bookmarkEnd w:id="6"/>
    </w:p>
    <w:p w14:paraId="5B7F5CD5" w14:textId="77777777" w:rsidR="002D1216" w:rsidRPr="00CD2F5C" w:rsidRDefault="002D1216" w:rsidP="002D1216">
      <w:pPr>
        <w:rPr>
          <w:rFonts w:ascii="Cambria" w:eastAsia="Calibri" w:hAnsi="Cambria" w:cs="Calibri"/>
          <w:sz w:val="24"/>
          <w:szCs w:val="24"/>
        </w:rPr>
      </w:pPr>
    </w:p>
    <w:p w14:paraId="49DA74CE"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When you grow up</w:t>
      </w:r>
    </w:p>
    <w:p w14:paraId="5CBFCDB0"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In a burning house</w:t>
      </w:r>
    </w:p>
    <w:p w14:paraId="4542C462"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You think the whole world is on fire.</w:t>
      </w:r>
    </w:p>
    <w:p w14:paraId="2D74CF93"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If I do nothing else in my life</w:t>
      </w:r>
    </w:p>
    <w:p w14:paraId="754C0A6C"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As a researcher; a scientist,</w:t>
      </w:r>
    </w:p>
    <w:p w14:paraId="0138D124"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 xml:space="preserve">May I be able to teach </w:t>
      </w:r>
    </w:p>
    <w:p w14:paraId="7BBC07F3"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Even just one person</w:t>
      </w:r>
    </w:p>
    <w:p w14:paraId="7789E61E"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How to smell the smoke.</w:t>
      </w:r>
    </w:p>
    <w:p w14:paraId="004E0769" w14:textId="77777777" w:rsidR="00AB4622" w:rsidRDefault="00AB4622" w:rsidP="00AB4622">
      <w:pPr>
        <w:spacing w:line="240" w:lineRule="auto"/>
        <w:contextualSpacing/>
        <w:jc w:val="center"/>
        <w:rPr>
          <w:rFonts w:ascii="Cambria" w:eastAsia="Calibri" w:hAnsi="Cambria" w:cs="Times New Roman"/>
          <w:sz w:val="24"/>
          <w:szCs w:val="24"/>
        </w:rPr>
      </w:pPr>
    </w:p>
    <w:p w14:paraId="4C7EFA05" w14:textId="77777777"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Thank you to my three supervisors for the past three years of dedicated patience and guidance to teach me the tools to try.</w:t>
      </w:r>
    </w:p>
    <w:p w14:paraId="3E4A7878" w14:textId="77777777" w:rsidR="00AB4622" w:rsidRDefault="00AB4622" w:rsidP="00AB4622">
      <w:pPr>
        <w:spacing w:line="240" w:lineRule="auto"/>
        <w:contextualSpacing/>
        <w:jc w:val="center"/>
        <w:rPr>
          <w:rFonts w:ascii="Cambria" w:eastAsia="Calibri" w:hAnsi="Cambria" w:cs="Times New Roman"/>
          <w:sz w:val="24"/>
          <w:szCs w:val="24"/>
        </w:rPr>
      </w:pPr>
    </w:p>
    <w:p w14:paraId="49FC75F9" w14:textId="58D8BEA9" w:rsidR="00AB4622" w:rsidRDefault="00AB4622"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 xml:space="preserve">Thank you to my life partner, David, for the space and time to achieve this goal. Before we met, I never expected to be here at all. </w:t>
      </w:r>
      <w:r w:rsidRPr="002B0F75">
        <w:rPr>
          <w:rFonts w:ascii="Cambria" w:eastAsia="Calibri" w:hAnsi="Cambria" w:cs="Times New Roman"/>
          <w:i/>
          <w:iCs/>
          <w:sz w:val="24"/>
          <w:szCs w:val="24"/>
        </w:rPr>
        <w:t>Perhaps we may even venture the stars next.</w:t>
      </w:r>
      <w:r>
        <w:rPr>
          <w:rFonts w:ascii="Cambria" w:eastAsia="Calibri" w:hAnsi="Cambria" w:cs="Times New Roman"/>
          <w:sz w:val="24"/>
          <w:szCs w:val="24"/>
        </w:rPr>
        <w:t xml:space="preserve"> </w:t>
      </w:r>
    </w:p>
    <w:p w14:paraId="7546BE40" w14:textId="77777777" w:rsidR="00AB4622" w:rsidRDefault="00AB4622" w:rsidP="00AB4622">
      <w:pPr>
        <w:spacing w:line="240" w:lineRule="auto"/>
        <w:contextualSpacing/>
        <w:jc w:val="center"/>
        <w:rPr>
          <w:rFonts w:ascii="Cambria" w:eastAsia="Calibri" w:hAnsi="Cambria" w:cs="Times New Roman"/>
          <w:sz w:val="24"/>
          <w:szCs w:val="24"/>
        </w:rPr>
      </w:pPr>
    </w:p>
    <w:p w14:paraId="2A4BEB81" w14:textId="7F00BF20" w:rsidR="0014767B" w:rsidRDefault="0014767B" w:rsidP="00AB4622">
      <w:pPr>
        <w:spacing w:line="240" w:lineRule="auto"/>
        <w:contextualSpacing/>
        <w:jc w:val="center"/>
        <w:rPr>
          <w:rFonts w:ascii="Cambria" w:eastAsia="Calibri" w:hAnsi="Cambria" w:cs="Times New Roman"/>
          <w:sz w:val="24"/>
          <w:szCs w:val="24"/>
        </w:rPr>
      </w:pPr>
      <w:r>
        <w:rPr>
          <w:rFonts w:ascii="Cambria" w:eastAsia="Calibri" w:hAnsi="Cambria" w:cs="Times New Roman"/>
          <w:sz w:val="24"/>
          <w:szCs w:val="24"/>
        </w:rPr>
        <w:t>Thank you to my friends for your unwavering belief in me, seeing me as competent and capable even on my worst days.</w:t>
      </w:r>
    </w:p>
    <w:p w14:paraId="305FB8F1" w14:textId="77777777" w:rsidR="0014767B" w:rsidRDefault="0014767B" w:rsidP="00AB4622">
      <w:pPr>
        <w:spacing w:line="240" w:lineRule="auto"/>
        <w:contextualSpacing/>
        <w:jc w:val="center"/>
        <w:rPr>
          <w:rFonts w:ascii="Cambria" w:eastAsia="Calibri" w:hAnsi="Cambria" w:cs="Times New Roman"/>
          <w:sz w:val="24"/>
          <w:szCs w:val="24"/>
        </w:rPr>
      </w:pPr>
    </w:p>
    <w:p w14:paraId="35FD9390" w14:textId="59AB7177" w:rsidR="00AB4622" w:rsidRPr="00CD2F5C" w:rsidRDefault="00AB4622" w:rsidP="00AB4622">
      <w:pPr>
        <w:spacing w:line="240" w:lineRule="auto"/>
        <w:contextualSpacing/>
        <w:jc w:val="center"/>
        <w:rPr>
          <w:rFonts w:ascii="Cambria" w:eastAsia="Calibri" w:hAnsi="Cambria" w:cs="Times New Roman"/>
          <w:i/>
          <w:sz w:val="24"/>
          <w:szCs w:val="24"/>
        </w:rPr>
      </w:pPr>
      <w:r>
        <w:rPr>
          <w:rFonts w:ascii="Cambria" w:eastAsia="Calibri" w:hAnsi="Cambria" w:cs="Times New Roman"/>
          <w:sz w:val="24"/>
          <w:szCs w:val="24"/>
        </w:rPr>
        <w:t xml:space="preserve">Finally, thank you to all of my </w:t>
      </w:r>
      <w:r w:rsidRPr="00BF4B86">
        <w:rPr>
          <w:rFonts w:ascii="Cambria" w:eastAsia="Calibri" w:hAnsi="Cambria" w:cs="Times New Roman"/>
          <w:i/>
          <w:iCs/>
          <w:sz w:val="24"/>
          <w:szCs w:val="24"/>
        </w:rPr>
        <w:t>other mothers</w:t>
      </w:r>
      <w:r>
        <w:rPr>
          <w:rFonts w:ascii="Cambria" w:eastAsia="Calibri" w:hAnsi="Cambria" w:cs="Times New Roman"/>
          <w:sz w:val="24"/>
          <w:szCs w:val="24"/>
        </w:rPr>
        <w:t xml:space="preserve">, for supporting me no matter how far apart we are in the world. </w:t>
      </w:r>
      <w:r w:rsidRPr="002B0F75">
        <w:rPr>
          <w:rFonts w:ascii="Cambria" w:eastAsia="Calibri" w:hAnsi="Cambria" w:cs="Times New Roman"/>
          <w:i/>
          <w:iCs/>
          <w:sz w:val="24"/>
          <w:szCs w:val="24"/>
        </w:rPr>
        <w:t>You were all the safe adults who helped me hold on</w:t>
      </w:r>
      <w:r w:rsidR="0014767B">
        <w:rPr>
          <w:rFonts w:ascii="Cambria" w:eastAsia="Calibri" w:hAnsi="Cambria" w:cs="Times New Roman"/>
          <w:i/>
          <w:iCs/>
          <w:sz w:val="24"/>
          <w:szCs w:val="24"/>
        </w:rPr>
        <w:t>, even if I didn’t always realize at the time</w:t>
      </w:r>
      <w:r w:rsidRPr="002B0F75">
        <w:rPr>
          <w:rFonts w:ascii="Cambria" w:eastAsia="Calibri" w:hAnsi="Cambria" w:cs="Times New Roman"/>
          <w:i/>
          <w:iCs/>
          <w:sz w:val="24"/>
          <w:szCs w:val="24"/>
        </w:rPr>
        <w:t>.</w:t>
      </w:r>
    </w:p>
    <w:p w14:paraId="5FA225E6" w14:textId="77777777" w:rsidR="00AB4622" w:rsidRPr="00CD2F5C" w:rsidRDefault="00AB4622" w:rsidP="002D1216">
      <w:pPr>
        <w:rPr>
          <w:rFonts w:ascii="Cambria" w:eastAsia="Calibri" w:hAnsi="Cambria" w:cs="Calibri"/>
          <w:sz w:val="24"/>
          <w:szCs w:val="24"/>
        </w:rPr>
      </w:pPr>
    </w:p>
    <w:p w14:paraId="23848BDE" w14:textId="77777777" w:rsidR="002D1216" w:rsidRPr="00CD2F5C" w:rsidRDefault="002D1216" w:rsidP="002D1216">
      <w:pPr>
        <w:rPr>
          <w:rFonts w:ascii="Cambria" w:eastAsia="Calibri" w:hAnsi="Cambria" w:cs="Calibri"/>
          <w:sz w:val="24"/>
          <w:szCs w:val="24"/>
        </w:rPr>
      </w:pPr>
      <w:r w:rsidRPr="00CD2F5C">
        <w:rPr>
          <w:rFonts w:ascii="Cambria" w:eastAsia="Calibri" w:hAnsi="Cambria" w:cs="Calibri"/>
          <w:sz w:val="24"/>
          <w:szCs w:val="24"/>
        </w:rPr>
        <w:br/>
      </w:r>
    </w:p>
    <w:p w14:paraId="2EF69446" w14:textId="77777777" w:rsidR="002D1216" w:rsidRPr="00CD2F5C" w:rsidRDefault="002D1216" w:rsidP="002D1216">
      <w:pPr>
        <w:rPr>
          <w:rFonts w:ascii="Cambria" w:eastAsia="Calibri" w:hAnsi="Cambria" w:cs="Calibri"/>
          <w:sz w:val="24"/>
          <w:szCs w:val="24"/>
        </w:rPr>
      </w:pPr>
    </w:p>
    <w:p w14:paraId="44A305FD" w14:textId="77777777" w:rsidR="002D1216" w:rsidRPr="00CD2F5C" w:rsidRDefault="002D1216" w:rsidP="002D1216">
      <w:pPr>
        <w:rPr>
          <w:rFonts w:ascii="Cambria" w:eastAsia="Calibri" w:hAnsi="Cambria" w:cs="Calibri"/>
          <w:sz w:val="24"/>
          <w:szCs w:val="24"/>
        </w:rPr>
      </w:pPr>
    </w:p>
    <w:p w14:paraId="3D299C78" w14:textId="77777777" w:rsidR="002D1216" w:rsidRPr="00CD2F5C" w:rsidRDefault="002D1216" w:rsidP="002D1216">
      <w:pPr>
        <w:rPr>
          <w:rFonts w:ascii="Cambria" w:eastAsia="Calibri" w:hAnsi="Cambria" w:cs="Calibri"/>
          <w:sz w:val="24"/>
          <w:szCs w:val="24"/>
        </w:rPr>
      </w:pPr>
    </w:p>
    <w:p w14:paraId="00646E1B" w14:textId="77777777" w:rsidR="002D1216" w:rsidRPr="00CD2F5C" w:rsidRDefault="002D1216" w:rsidP="002D1216">
      <w:pPr>
        <w:rPr>
          <w:rFonts w:ascii="Cambria" w:eastAsia="Calibri" w:hAnsi="Cambria" w:cs="Calibri"/>
          <w:sz w:val="24"/>
          <w:szCs w:val="24"/>
        </w:rPr>
      </w:pPr>
    </w:p>
    <w:p w14:paraId="27E0B25D" w14:textId="77777777" w:rsidR="002D1216" w:rsidRPr="00CD2F5C" w:rsidRDefault="002D1216" w:rsidP="002D1216">
      <w:pPr>
        <w:rPr>
          <w:rFonts w:ascii="Cambria" w:eastAsia="Calibri" w:hAnsi="Cambria" w:cs="Calibri"/>
          <w:sz w:val="24"/>
          <w:szCs w:val="24"/>
        </w:rPr>
      </w:pPr>
    </w:p>
    <w:p w14:paraId="7227683C" w14:textId="77777777" w:rsidR="002D1216" w:rsidRPr="00CD2F5C" w:rsidRDefault="002D1216" w:rsidP="002D1216">
      <w:pPr>
        <w:rPr>
          <w:rFonts w:ascii="Cambria" w:eastAsia="Calibri" w:hAnsi="Cambria" w:cs="Calibri"/>
          <w:sz w:val="24"/>
          <w:szCs w:val="24"/>
        </w:rPr>
      </w:pPr>
    </w:p>
    <w:p w14:paraId="6CD6B4D7" w14:textId="77777777" w:rsidR="002D1216" w:rsidRPr="00CD2F5C" w:rsidRDefault="002D1216" w:rsidP="002D1216">
      <w:pPr>
        <w:rPr>
          <w:rFonts w:ascii="Cambria" w:eastAsia="Calibri" w:hAnsi="Cambria" w:cs="Calibri"/>
          <w:sz w:val="24"/>
          <w:szCs w:val="24"/>
        </w:rPr>
      </w:pPr>
    </w:p>
    <w:p w14:paraId="03E47D71" w14:textId="77777777" w:rsidR="002D1216" w:rsidRPr="00CD2F5C" w:rsidRDefault="002D1216" w:rsidP="002D1216">
      <w:pPr>
        <w:rPr>
          <w:rFonts w:ascii="Cambria" w:eastAsia="Calibri" w:hAnsi="Cambria" w:cs="Calibri"/>
          <w:sz w:val="24"/>
          <w:szCs w:val="24"/>
        </w:rPr>
      </w:pPr>
    </w:p>
    <w:p w14:paraId="6FAD09BA" w14:textId="77777777" w:rsidR="002D1216" w:rsidRPr="00CD2F5C" w:rsidRDefault="002D1216" w:rsidP="002D1216">
      <w:pPr>
        <w:rPr>
          <w:rFonts w:ascii="Cambria" w:eastAsia="Calibri" w:hAnsi="Cambria" w:cs="Calibri"/>
          <w:sz w:val="24"/>
          <w:szCs w:val="24"/>
        </w:rPr>
      </w:pPr>
    </w:p>
    <w:p w14:paraId="5C5B0ED1" w14:textId="77777777" w:rsidR="002D1216" w:rsidRPr="00CD2F5C" w:rsidRDefault="002D1216" w:rsidP="002D1216">
      <w:pPr>
        <w:rPr>
          <w:rFonts w:ascii="Cambria" w:eastAsia="Calibri" w:hAnsi="Cambria" w:cs="Calibri"/>
          <w:sz w:val="24"/>
          <w:szCs w:val="24"/>
        </w:rPr>
      </w:pPr>
    </w:p>
    <w:p w14:paraId="0616ABD8" w14:textId="1342581F" w:rsidR="002D1216" w:rsidRPr="00B93217" w:rsidRDefault="002D1216" w:rsidP="002D1216">
      <w:pPr>
        <w:rPr>
          <w:rFonts w:ascii="Cambria" w:eastAsia="Calibri" w:hAnsi="Cambria" w:cs="Calibri"/>
          <w:sz w:val="24"/>
          <w:szCs w:val="24"/>
        </w:rPr>
      </w:pPr>
    </w:p>
    <w:p w14:paraId="2ECB1FA3" w14:textId="77777777" w:rsidR="002D1216" w:rsidRPr="00CD2F5C" w:rsidRDefault="002D1216" w:rsidP="00CD2F5C">
      <w:pPr>
        <w:pStyle w:val="Heading11"/>
        <w:jc w:val="center"/>
        <w:rPr>
          <w:rFonts w:eastAsia="Calibri"/>
        </w:rPr>
      </w:pPr>
      <w:bookmarkStart w:id="7" w:name="_Toc181362877"/>
      <w:r w:rsidRPr="00CD2F5C">
        <w:rPr>
          <w:rFonts w:eastAsia="Calibri"/>
        </w:rPr>
        <w:lastRenderedPageBreak/>
        <w:t>PUBLICATIONS COMPLETED DURING THIS THESIS PERIOD</w:t>
      </w:r>
      <w:bookmarkEnd w:id="7"/>
    </w:p>
    <w:p w14:paraId="7F5FE474" w14:textId="77777777" w:rsidR="00B93217" w:rsidRDefault="00B93217" w:rsidP="002D1216">
      <w:pPr>
        <w:rPr>
          <w:rFonts w:ascii="Cambria" w:eastAsia="Calibri" w:hAnsi="Cambria" w:cs="Calibri"/>
          <w:b/>
          <w:bCs/>
          <w:sz w:val="24"/>
          <w:szCs w:val="24"/>
        </w:rPr>
      </w:pPr>
    </w:p>
    <w:p w14:paraId="41898376" w14:textId="3CE6DAAD" w:rsidR="002D1216" w:rsidRPr="00CD2F5C" w:rsidRDefault="002D1216" w:rsidP="002D1216">
      <w:pPr>
        <w:rPr>
          <w:rFonts w:ascii="Cambria" w:eastAsia="Calibri" w:hAnsi="Cambria" w:cs="Calibri"/>
          <w:b/>
          <w:bCs/>
          <w:sz w:val="24"/>
          <w:szCs w:val="24"/>
        </w:rPr>
      </w:pPr>
      <w:r w:rsidRPr="00CD2F5C">
        <w:rPr>
          <w:rFonts w:ascii="Cambria" w:eastAsia="Calibri" w:hAnsi="Cambria" w:cs="Calibri"/>
          <w:b/>
          <w:bCs/>
          <w:sz w:val="24"/>
          <w:szCs w:val="24"/>
        </w:rPr>
        <w:t>PEER-REVIEWED PAPERS</w:t>
      </w:r>
    </w:p>
    <w:p w14:paraId="53851823" w14:textId="77777777" w:rsidR="002D1216" w:rsidRPr="00CD2F5C" w:rsidRDefault="002D1216" w:rsidP="002D1216">
      <w:pPr>
        <w:numPr>
          <w:ilvl w:val="0"/>
          <w:numId w:val="3"/>
        </w:numPr>
        <w:rPr>
          <w:rFonts w:ascii="Cambria" w:eastAsia="Calibri" w:hAnsi="Cambria" w:cs="Calibri"/>
          <w:sz w:val="24"/>
          <w:szCs w:val="24"/>
        </w:rPr>
      </w:pPr>
      <w:r w:rsidRPr="00CD2F5C">
        <w:rPr>
          <w:rFonts w:ascii="Cambria" w:eastAsia="Calibri" w:hAnsi="Cambria" w:cs="Calibri"/>
          <w:b/>
          <w:bCs/>
          <w:sz w:val="24"/>
          <w:szCs w:val="24"/>
        </w:rPr>
        <w:t>Dalechek DE,</w:t>
      </w:r>
      <w:r w:rsidRPr="00CD2F5C">
        <w:rPr>
          <w:rFonts w:ascii="Cambria" w:eastAsia="Calibri" w:hAnsi="Cambria" w:cs="Calibri"/>
          <w:sz w:val="24"/>
          <w:szCs w:val="24"/>
        </w:rPr>
        <w:t xml:space="preserve"> </w:t>
      </w:r>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L, McIntosh G, Whittaker AC. Anxiety, history of childhood adversity, and experiencing chronic pain in adulthood: A systematic literature review and meta-analysis. </w:t>
      </w:r>
      <w:proofErr w:type="spellStart"/>
      <w:r w:rsidRPr="0063342B">
        <w:rPr>
          <w:rFonts w:ascii="Cambria" w:eastAsia="Calibri" w:hAnsi="Cambria" w:cs="Calibri"/>
          <w:i/>
          <w:iCs/>
          <w:sz w:val="24"/>
          <w:szCs w:val="24"/>
        </w:rPr>
        <w:t>Eur</w:t>
      </w:r>
      <w:proofErr w:type="spellEnd"/>
      <w:r w:rsidRPr="0063342B">
        <w:rPr>
          <w:rFonts w:ascii="Cambria" w:eastAsia="Calibri" w:hAnsi="Cambria" w:cs="Calibri"/>
          <w:i/>
          <w:iCs/>
          <w:sz w:val="24"/>
          <w:szCs w:val="24"/>
        </w:rPr>
        <w:t xml:space="preserve"> J Pain</w:t>
      </w:r>
      <w:r w:rsidRPr="00CD2F5C">
        <w:rPr>
          <w:rFonts w:ascii="Cambria" w:eastAsia="Calibri" w:hAnsi="Cambria" w:cs="Calibri"/>
          <w:sz w:val="24"/>
          <w:szCs w:val="24"/>
        </w:rPr>
        <w:t xml:space="preserve">. 2024 Jan 8. </w:t>
      </w:r>
      <w:proofErr w:type="spellStart"/>
      <w:r w:rsidRPr="00CD2F5C">
        <w:rPr>
          <w:rFonts w:ascii="Cambria" w:eastAsia="Calibri" w:hAnsi="Cambria" w:cs="Calibri"/>
          <w:sz w:val="24"/>
          <w:szCs w:val="24"/>
        </w:rPr>
        <w:t>doi</w:t>
      </w:r>
      <w:proofErr w:type="spellEnd"/>
      <w:r w:rsidRPr="00CD2F5C">
        <w:rPr>
          <w:rFonts w:ascii="Cambria" w:eastAsia="Calibri" w:hAnsi="Cambria" w:cs="Calibri"/>
          <w:sz w:val="24"/>
          <w:szCs w:val="24"/>
        </w:rPr>
        <w:t>: 10.1002/ejp.2232.</w:t>
      </w:r>
    </w:p>
    <w:p w14:paraId="33FBE17D" w14:textId="77777777" w:rsidR="002D1216" w:rsidRPr="00CD2F5C" w:rsidRDefault="002D1216" w:rsidP="002D1216">
      <w:pPr>
        <w:numPr>
          <w:ilvl w:val="0"/>
          <w:numId w:val="3"/>
        </w:numPr>
        <w:rPr>
          <w:rFonts w:ascii="Cambria" w:eastAsia="Calibri" w:hAnsi="Cambria" w:cs="Calibri"/>
          <w:sz w:val="24"/>
          <w:szCs w:val="24"/>
        </w:rPr>
      </w:pPr>
      <w:bookmarkStart w:id="8" w:name="_Hlk162458732"/>
      <w:r w:rsidRPr="00CD2F5C">
        <w:rPr>
          <w:rFonts w:ascii="Cambria" w:eastAsia="Calibri" w:hAnsi="Cambria" w:cs="Calibri"/>
          <w:b/>
          <w:bCs/>
          <w:sz w:val="24"/>
          <w:szCs w:val="24"/>
        </w:rPr>
        <w:t>Dalechek DE,</w:t>
      </w:r>
      <w:r w:rsidRPr="00CD2F5C">
        <w:rPr>
          <w:rFonts w:ascii="Cambria" w:eastAsia="Calibri" w:hAnsi="Cambria" w:cs="Calibri"/>
          <w:sz w:val="24"/>
          <w:szCs w:val="24"/>
        </w:rPr>
        <w:t xml:space="preserve"> </w:t>
      </w:r>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L, McIntosh G, Whittaker AC. An analysis on history of childhood adversity, anxiety, and chronic pain in adulthood and the influence of inflammatory biomarker C-reactive protein. </w:t>
      </w:r>
      <w:r w:rsidRPr="0063342B">
        <w:rPr>
          <w:rFonts w:ascii="Cambria" w:eastAsia="Calibri" w:hAnsi="Cambria" w:cs="Calibri"/>
          <w:i/>
          <w:iCs/>
          <w:sz w:val="24"/>
          <w:szCs w:val="24"/>
        </w:rPr>
        <w:t>Sci Rep</w:t>
      </w:r>
      <w:r w:rsidRPr="00CD2F5C">
        <w:rPr>
          <w:rFonts w:ascii="Cambria" w:eastAsia="Calibri" w:hAnsi="Cambria" w:cs="Calibri"/>
          <w:sz w:val="24"/>
          <w:szCs w:val="24"/>
        </w:rPr>
        <w:t xml:space="preserve">. 2023 Oct 21;13(1):18000. </w:t>
      </w:r>
      <w:proofErr w:type="spellStart"/>
      <w:r w:rsidRPr="00CD2F5C">
        <w:rPr>
          <w:rFonts w:ascii="Cambria" w:eastAsia="Calibri" w:hAnsi="Cambria" w:cs="Calibri"/>
          <w:sz w:val="24"/>
          <w:szCs w:val="24"/>
        </w:rPr>
        <w:t>doi</w:t>
      </w:r>
      <w:proofErr w:type="spellEnd"/>
      <w:r w:rsidRPr="00CD2F5C">
        <w:rPr>
          <w:rFonts w:ascii="Cambria" w:eastAsia="Calibri" w:hAnsi="Cambria" w:cs="Calibri"/>
          <w:sz w:val="24"/>
          <w:szCs w:val="24"/>
        </w:rPr>
        <w:t>: 10.1038/s41598-023-44874-1.</w:t>
      </w:r>
      <w:bookmarkEnd w:id="8"/>
    </w:p>
    <w:p w14:paraId="61064C07" w14:textId="77777777" w:rsidR="002D1216" w:rsidRPr="00CD2F5C" w:rsidRDefault="002D1216" w:rsidP="002D1216">
      <w:pPr>
        <w:numPr>
          <w:ilvl w:val="0"/>
          <w:numId w:val="3"/>
        </w:numPr>
        <w:rPr>
          <w:rFonts w:ascii="Cambria" w:eastAsia="Calibri" w:hAnsi="Cambria" w:cs="Calibri"/>
          <w:sz w:val="24"/>
          <w:szCs w:val="24"/>
        </w:rPr>
      </w:pPr>
      <w:r w:rsidRPr="00CD2F5C">
        <w:rPr>
          <w:rFonts w:ascii="Cambria" w:eastAsia="Calibri" w:hAnsi="Cambria" w:cs="Calibri"/>
          <w:b/>
          <w:bCs/>
          <w:sz w:val="24"/>
          <w:szCs w:val="24"/>
        </w:rPr>
        <w:t>Dalechek, D.</w:t>
      </w:r>
      <w:r w:rsidRPr="00CD2F5C">
        <w:rPr>
          <w:rFonts w:ascii="Cambria" w:eastAsia="Calibri" w:hAnsi="Cambria" w:cs="Calibri"/>
          <w:sz w:val="24"/>
          <w:szCs w:val="24"/>
        </w:rPr>
        <w:t xml:space="preserve"> Anxiety and Pain: Mental Health is also Physical. SPARK; </w:t>
      </w:r>
      <w:r w:rsidRPr="0063342B">
        <w:rPr>
          <w:rFonts w:ascii="Cambria" w:eastAsia="Calibri" w:hAnsi="Cambria" w:cs="Calibri"/>
          <w:i/>
          <w:iCs/>
          <w:sz w:val="24"/>
          <w:szCs w:val="24"/>
        </w:rPr>
        <w:t>Stirling International Journal of Postgraduate Research</w:t>
      </w:r>
      <w:r w:rsidRPr="00CD2F5C">
        <w:rPr>
          <w:rFonts w:ascii="Cambria" w:eastAsia="Calibri" w:hAnsi="Cambria" w:cs="Calibri"/>
          <w:sz w:val="24"/>
          <w:szCs w:val="24"/>
        </w:rPr>
        <w:t>. 2022: Issue 8.  https://spark.stir.ac.uk/issues/issue-8/issue-8-anxiety-dalechek.</w:t>
      </w:r>
    </w:p>
    <w:p w14:paraId="499F9DA8" w14:textId="77777777" w:rsidR="002D1216" w:rsidRPr="00CD2F5C" w:rsidRDefault="002D1216" w:rsidP="002D1216">
      <w:pPr>
        <w:rPr>
          <w:rFonts w:ascii="Cambria" w:eastAsia="Calibri" w:hAnsi="Cambria" w:cs="Calibri"/>
          <w:b/>
          <w:bCs/>
          <w:sz w:val="24"/>
          <w:szCs w:val="24"/>
        </w:rPr>
      </w:pPr>
      <w:r w:rsidRPr="00CD2F5C">
        <w:rPr>
          <w:rFonts w:ascii="Cambria" w:eastAsia="Calibri" w:hAnsi="Cambria" w:cs="Calibri"/>
          <w:b/>
          <w:bCs/>
          <w:sz w:val="24"/>
          <w:szCs w:val="24"/>
        </w:rPr>
        <w:t xml:space="preserve">PUBLISHED PROTOCOLS AND ABSTRACTS </w:t>
      </w:r>
    </w:p>
    <w:p w14:paraId="0B700C34" w14:textId="77777777" w:rsidR="002D1216" w:rsidRPr="00CD2F5C" w:rsidRDefault="002D1216" w:rsidP="002D1216">
      <w:pPr>
        <w:numPr>
          <w:ilvl w:val="0"/>
          <w:numId w:val="3"/>
        </w:numPr>
        <w:rPr>
          <w:rFonts w:ascii="Cambria" w:eastAsia="Calibri" w:hAnsi="Cambria" w:cs="Calibri"/>
          <w:sz w:val="24"/>
          <w:szCs w:val="24"/>
        </w:rPr>
      </w:pPr>
      <w:r w:rsidRPr="00CD2F5C">
        <w:rPr>
          <w:rFonts w:ascii="Cambria" w:eastAsia="Calibri" w:hAnsi="Cambria" w:cs="Calibri"/>
          <w:b/>
          <w:bCs/>
          <w:sz w:val="24"/>
          <w:szCs w:val="24"/>
        </w:rPr>
        <w:t>Dalechek, D.,</w:t>
      </w:r>
      <w:r w:rsidRPr="00CD2F5C">
        <w:rPr>
          <w:rFonts w:ascii="Cambria" w:eastAsia="Calibri" w:hAnsi="Cambria" w:cs="Calibri"/>
          <w:sz w:val="24"/>
          <w:szCs w:val="24"/>
        </w:rPr>
        <w:t xml:space="preserve"> Whittaker, A., McIntosh, G., &amp; </w:t>
      </w:r>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L. Registered Report Protocol. 2024 Mar 11. </w:t>
      </w:r>
      <w:hyperlink r:id="rId13" w:history="1">
        <w:r w:rsidRPr="00CD2F5C">
          <w:rPr>
            <w:rStyle w:val="Hyperlink"/>
            <w:rFonts w:ascii="Cambria" w:eastAsia="Calibri" w:hAnsi="Cambria" w:cs="Calibri"/>
            <w:sz w:val="24"/>
            <w:szCs w:val="24"/>
          </w:rPr>
          <w:t>https://doi.org/10.17605/OSF.IO/3BKYC</w:t>
        </w:r>
      </w:hyperlink>
      <w:r w:rsidRPr="00CD2F5C">
        <w:rPr>
          <w:rFonts w:ascii="Cambria" w:eastAsia="Calibri" w:hAnsi="Cambria" w:cs="Calibri"/>
          <w:sz w:val="24"/>
          <w:szCs w:val="24"/>
        </w:rPr>
        <w:t>.</w:t>
      </w:r>
      <w:r w:rsidRPr="00CD2F5C">
        <w:rPr>
          <w:rFonts w:ascii="Cambria" w:eastAsia="Calibri" w:hAnsi="Cambria" w:cs="Calibri"/>
          <w:b/>
          <w:bCs/>
          <w:sz w:val="24"/>
          <w:szCs w:val="24"/>
        </w:rPr>
        <w:t xml:space="preserve"> </w:t>
      </w:r>
    </w:p>
    <w:p w14:paraId="6490D605" w14:textId="6CF27385" w:rsidR="002D1216" w:rsidRPr="00CD2F5C" w:rsidRDefault="002D1216" w:rsidP="002D1216">
      <w:pPr>
        <w:numPr>
          <w:ilvl w:val="0"/>
          <w:numId w:val="3"/>
        </w:numPr>
        <w:rPr>
          <w:rFonts w:ascii="Cambria" w:eastAsia="Calibri" w:hAnsi="Cambria" w:cs="Calibri"/>
          <w:sz w:val="24"/>
          <w:szCs w:val="24"/>
        </w:rPr>
      </w:pPr>
      <w:r w:rsidRPr="00CD2F5C">
        <w:rPr>
          <w:rFonts w:ascii="Cambria" w:eastAsia="Calibri" w:hAnsi="Cambria" w:cs="Calibri"/>
          <w:b/>
          <w:bCs/>
          <w:sz w:val="24"/>
          <w:szCs w:val="24"/>
        </w:rPr>
        <w:t>Dalechek D.,</w:t>
      </w:r>
      <w:r w:rsidRPr="00CD2F5C">
        <w:rPr>
          <w:rFonts w:ascii="Cambria" w:eastAsia="Calibri" w:hAnsi="Cambria" w:cs="Calibri"/>
          <w:sz w:val="24"/>
          <w:szCs w:val="24"/>
        </w:rPr>
        <w:t xml:space="preserve"> Whittaker A.C., </w:t>
      </w:r>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L., McIntosh </w:t>
      </w:r>
      <w:r w:rsidR="00CD2F5C" w:rsidRPr="00CD2F5C">
        <w:rPr>
          <w:rFonts w:ascii="Cambria" w:eastAsia="Calibri" w:hAnsi="Cambria" w:cs="Calibri"/>
          <w:sz w:val="24"/>
          <w:szCs w:val="24"/>
        </w:rPr>
        <w:t>G.</w:t>
      </w:r>
      <w:r w:rsidRPr="00CD2F5C">
        <w:rPr>
          <w:rFonts w:ascii="Cambria" w:eastAsia="Calibri" w:hAnsi="Cambria" w:cs="Calibri"/>
          <w:sz w:val="24"/>
          <w:szCs w:val="24"/>
        </w:rPr>
        <w:t xml:space="preserve"> Childhood Adversity Related to Anxiety and Chronic Pain in Adulthood, and to C-reactive Protein Levels. </w:t>
      </w:r>
      <w:r w:rsidRPr="0063342B">
        <w:rPr>
          <w:rFonts w:ascii="Cambria" w:eastAsia="Calibri" w:hAnsi="Cambria" w:cs="Calibri"/>
          <w:i/>
          <w:iCs/>
          <w:sz w:val="24"/>
          <w:szCs w:val="24"/>
        </w:rPr>
        <w:t>Psychosomatic Medicine,</w:t>
      </w:r>
      <w:r w:rsidRPr="00CD2F5C">
        <w:rPr>
          <w:rFonts w:ascii="Cambria" w:eastAsia="Calibri" w:hAnsi="Cambria" w:cs="Calibri"/>
          <w:sz w:val="24"/>
          <w:szCs w:val="24"/>
        </w:rPr>
        <w:t xml:space="preserve"> 2023:85(3), </w:t>
      </w:r>
      <w:hyperlink r:id="rId14">
        <w:r w:rsidRPr="00CD2F5C">
          <w:rPr>
            <w:rStyle w:val="Hyperlink"/>
            <w:rFonts w:ascii="Cambria" w:eastAsia="Calibri" w:hAnsi="Cambria" w:cs="Calibri"/>
            <w:sz w:val="24"/>
            <w:szCs w:val="24"/>
          </w:rPr>
          <w:t>https://psychosomatic.org/wp-content/uploads/2023/03/APS-2023-Abstract-Book.pdf</w:t>
        </w:r>
      </w:hyperlink>
      <w:r w:rsidRPr="00CD2F5C">
        <w:rPr>
          <w:rFonts w:ascii="Cambria" w:eastAsia="Calibri" w:hAnsi="Cambria" w:cs="Calibri"/>
          <w:sz w:val="24"/>
          <w:szCs w:val="24"/>
        </w:rPr>
        <w:t xml:space="preserve"> </w:t>
      </w:r>
    </w:p>
    <w:p w14:paraId="236F6153" w14:textId="77777777" w:rsidR="002D1216" w:rsidRPr="00CD2F5C" w:rsidRDefault="002D1216" w:rsidP="002D1216">
      <w:pPr>
        <w:numPr>
          <w:ilvl w:val="0"/>
          <w:numId w:val="3"/>
        </w:numPr>
        <w:rPr>
          <w:rFonts w:ascii="Cambria" w:eastAsia="Calibri" w:hAnsi="Cambria" w:cs="Calibri"/>
          <w:sz w:val="24"/>
          <w:szCs w:val="24"/>
        </w:rPr>
      </w:pPr>
      <w:r w:rsidRPr="00CD2F5C">
        <w:rPr>
          <w:rFonts w:ascii="Cambria" w:eastAsia="Calibri" w:hAnsi="Cambria" w:cs="Calibri"/>
          <w:b/>
          <w:bCs/>
          <w:sz w:val="24"/>
          <w:szCs w:val="24"/>
        </w:rPr>
        <w:t>Danielle Dalechek,</w:t>
      </w:r>
      <w:r w:rsidRPr="00CD2F5C">
        <w:rPr>
          <w:rFonts w:ascii="Cambria" w:eastAsia="Calibri" w:hAnsi="Cambria" w:cs="Calibri"/>
          <w:sz w:val="24"/>
          <w:szCs w:val="24"/>
        </w:rPr>
        <w:t xml:space="preserve"> Anna Whittaker, Line </w:t>
      </w:r>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Gwenne McIntosh. Anxiety, history of childhood adversity, and experiencing chronic pain in adulthood: a systematic literature review. PROSPERO 2021 CRD42021257706 Available from: </w:t>
      </w:r>
      <w:hyperlink r:id="rId15" w:history="1">
        <w:r w:rsidRPr="00CD2F5C">
          <w:rPr>
            <w:rStyle w:val="Hyperlink"/>
          </w:rPr>
          <w:t>https://www.crd.york.ac.uk/prospero/display_record.php?ID=CRD42021257706</w:t>
        </w:r>
      </w:hyperlink>
      <w:r w:rsidRPr="00CD2F5C">
        <w:rPr>
          <w:rFonts w:ascii="Cambria" w:eastAsia="Calibri" w:hAnsi="Cambria" w:cs="Calibri"/>
          <w:sz w:val="24"/>
          <w:szCs w:val="24"/>
        </w:rPr>
        <w:t xml:space="preserve"> </w:t>
      </w:r>
    </w:p>
    <w:p w14:paraId="02F56906" w14:textId="77777777" w:rsidR="002D1216" w:rsidRPr="00CD2F5C" w:rsidRDefault="002D1216" w:rsidP="002D1216">
      <w:pPr>
        <w:rPr>
          <w:rFonts w:ascii="Cambria" w:eastAsia="Calibri" w:hAnsi="Cambria" w:cs="Calibri"/>
          <w:b/>
          <w:bCs/>
          <w:sz w:val="24"/>
          <w:szCs w:val="24"/>
        </w:rPr>
      </w:pPr>
      <w:r w:rsidRPr="00CD2F5C">
        <w:rPr>
          <w:rFonts w:ascii="Cambria" w:eastAsia="Calibri" w:hAnsi="Cambria" w:cs="Calibri"/>
          <w:b/>
          <w:bCs/>
          <w:sz w:val="24"/>
          <w:szCs w:val="24"/>
        </w:rPr>
        <w:t>CONFERENCE TALKS</w:t>
      </w:r>
    </w:p>
    <w:p w14:paraId="1BCAC3AE" w14:textId="77777777" w:rsidR="002D1216" w:rsidRPr="00CD2F5C" w:rsidRDefault="002D1216" w:rsidP="002D1216">
      <w:pPr>
        <w:numPr>
          <w:ilvl w:val="0"/>
          <w:numId w:val="3"/>
        </w:numPr>
        <w:rPr>
          <w:rFonts w:ascii="Cambria" w:eastAsia="Calibri" w:hAnsi="Cambria" w:cs="Calibri"/>
          <w:sz w:val="24"/>
          <w:szCs w:val="24"/>
        </w:rPr>
      </w:pPr>
      <w:r w:rsidRPr="00CD2F5C">
        <w:rPr>
          <w:rFonts w:ascii="Cambria" w:eastAsia="Calibri" w:hAnsi="Cambria" w:cs="Calibri"/>
          <w:b/>
          <w:bCs/>
          <w:sz w:val="24"/>
          <w:szCs w:val="24"/>
        </w:rPr>
        <w:t xml:space="preserve">Dalechek, D. </w:t>
      </w:r>
      <w:r w:rsidRPr="00CD2F5C">
        <w:rPr>
          <w:rFonts w:ascii="Cambria" w:eastAsia="Calibri" w:hAnsi="Cambria" w:cs="Calibri"/>
          <w:sz w:val="24"/>
          <w:szCs w:val="24"/>
        </w:rPr>
        <w:t>et al. Anxiety, History of Childhood Adversity, and Experiencing Chronic Pain in Adulthood (2022). NRS Pain/NHS/Scottish Pain Research Community (</w:t>
      </w:r>
      <w:proofErr w:type="spellStart"/>
      <w:r w:rsidRPr="00CD2F5C">
        <w:rPr>
          <w:rFonts w:ascii="Cambria" w:eastAsia="Calibri" w:hAnsi="Cambria" w:cs="Calibri"/>
          <w:sz w:val="24"/>
          <w:szCs w:val="24"/>
        </w:rPr>
        <w:t>SPaRC</w:t>
      </w:r>
      <w:proofErr w:type="spellEnd"/>
      <w:r w:rsidRPr="00CD2F5C">
        <w:rPr>
          <w:rFonts w:ascii="Cambria" w:eastAsia="Calibri" w:hAnsi="Cambria" w:cs="Calibri"/>
          <w:sz w:val="24"/>
          <w:szCs w:val="24"/>
        </w:rPr>
        <w:t>) 12th Annual Scientific Meeting. Oral abstract presented on Friday 28 October 2022, at the Royal College of Physicians, Edinburgh. https://www.nhsresearchscotland.org.uk/research-areas/pain/nrs-pain-developments.</w:t>
      </w:r>
    </w:p>
    <w:p w14:paraId="4CC19C0A" w14:textId="77777777" w:rsidR="002D1216" w:rsidRPr="00CD2F5C" w:rsidRDefault="002D1216" w:rsidP="002D1216">
      <w:pPr>
        <w:rPr>
          <w:rFonts w:ascii="Cambria" w:eastAsia="Calibri" w:hAnsi="Cambria" w:cs="Calibri"/>
          <w:b/>
          <w:bCs/>
          <w:sz w:val="24"/>
          <w:szCs w:val="24"/>
        </w:rPr>
      </w:pPr>
      <w:r w:rsidRPr="00CD2F5C">
        <w:rPr>
          <w:rFonts w:ascii="Cambria" w:eastAsia="Calibri" w:hAnsi="Cambria" w:cs="Calibri"/>
          <w:b/>
          <w:bCs/>
          <w:sz w:val="24"/>
          <w:szCs w:val="24"/>
        </w:rPr>
        <w:t>CONFERENCE POSTERS</w:t>
      </w:r>
    </w:p>
    <w:p w14:paraId="2AF9AAC4" w14:textId="03D34C88" w:rsidR="002D1216" w:rsidRPr="00CD2F5C" w:rsidRDefault="002D1216" w:rsidP="002D1216">
      <w:pPr>
        <w:rPr>
          <w:rFonts w:ascii="Cambria" w:eastAsia="Calibri" w:hAnsi="Cambria" w:cs="Calibri"/>
          <w:sz w:val="24"/>
          <w:szCs w:val="24"/>
        </w:rPr>
      </w:pPr>
      <w:r w:rsidRPr="6E2346AC">
        <w:rPr>
          <w:rFonts w:ascii="Cambria" w:eastAsia="Calibri" w:hAnsi="Cambria" w:cs="Calibri"/>
          <w:b/>
          <w:bCs/>
          <w:sz w:val="24"/>
          <w:szCs w:val="24"/>
        </w:rPr>
        <w:t xml:space="preserve">Dalechek D., </w:t>
      </w:r>
      <w:r w:rsidRPr="6E2346AC">
        <w:rPr>
          <w:rFonts w:ascii="Cambria" w:eastAsia="Calibri" w:hAnsi="Cambria" w:cs="Calibri"/>
          <w:sz w:val="24"/>
          <w:szCs w:val="24"/>
        </w:rPr>
        <w:t xml:space="preserve">Whittaker A.C., </w:t>
      </w:r>
      <w:proofErr w:type="spellStart"/>
      <w:r w:rsidRPr="6E2346AC">
        <w:rPr>
          <w:rFonts w:ascii="Cambria" w:eastAsia="Calibri" w:hAnsi="Cambria" w:cs="Calibri"/>
          <w:sz w:val="24"/>
          <w:szCs w:val="24"/>
        </w:rPr>
        <w:t>Caes</w:t>
      </w:r>
      <w:proofErr w:type="spellEnd"/>
      <w:r w:rsidRPr="6E2346AC">
        <w:rPr>
          <w:rFonts w:ascii="Cambria" w:eastAsia="Calibri" w:hAnsi="Cambria" w:cs="Calibri"/>
          <w:sz w:val="24"/>
          <w:szCs w:val="24"/>
        </w:rPr>
        <w:t xml:space="preserve"> L., McIntosh G. (2023). Childhood Adversity Related to Anxiety and Chronic Pain in Adulthood, and to C-reactive Protein Levels. Poster presented </w:t>
      </w:r>
      <w:r w:rsidRPr="6E2346AC">
        <w:rPr>
          <w:rFonts w:ascii="Cambria" w:eastAsia="Calibri" w:hAnsi="Cambria" w:cs="Calibri"/>
          <w:sz w:val="24"/>
          <w:szCs w:val="24"/>
        </w:rPr>
        <w:lastRenderedPageBreak/>
        <w:t>at the American Psychosomatic Society 80th Annual Scientific Meeting, San Juan, Puerto Rico.</w:t>
      </w:r>
    </w:p>
    <w:p w14:paraId="4718E803" w14:textId="77777777" w:rsidR="002D1216" w:rsidRPr="00CD2F5C" w:rsidRDefault="002D1216" w:rsidP="002D1216">
      <w:pPr>
        <w:rPr>
          <w:rFonts w:ascii="Cambria" w:eastAsia="Calibri" w:hAnsi="Cambria" w:cs="Calibri"/>
          <w:sz w:val="24"/>
          <w:szCs w:val="24"/>
        </w:rPr>
      </w:pPr>
    </w:p>
    <w:p w14:paraId="21898785" w14:textId="77777777" w:rsidR="002D1216" w:rsidRPr="00CD2F5C" w:rsidRDefault="002D1216" w:rsidP="002D1216">
      <w:pPr>
        <w:rPr>
          <w:rFonts w:ascii="Cambria" w:eastAsia="Calibri" w:hAnsi="Cambria" w:cs="Calibri"/>
          <w:b/>
          <w:bCs/>
          <w:sz w:val="24"/>
          <w:szCs w:val="24"/>
        </w:rPr>
      </w:pPr>
    </w:p>
    <w:p w14:paraId="3420B748" w14:textId="77777777" w:rsidR="002D1216" w:rsidRPr="00CD2F5C" w:rsidRDefault="002D1216" w:rsidP="002D1216">
      <w:pPr>
        <w:spacing w:line="480" w:lineRule="auto"/>
        <w:jc w:val="center"/>
        <w:rPr>
          <w:rFonts w:ascii="Cambria" w:eastAsia="Calibri" w:hAnsi="Cambria" w:cs="Calibri"/>
          <w:b/>
          <w:sz w:val="24"/>
          <w:szCs w:val="24"/>
        </w:rPr>
      </w:pPr>
    </w:p>
    <w:p w14:paraId="6624274F" w14:textId="77777777" w:rsidR="002D1216" w:rsidRPr="00CD2F5C" w:rsidRDefault="002D1216" w:rsidP="002D1216">
      <w:pPr>
        <w:rPr>
          <w:rFonts w:ascii="Cambria" w:eastAsia="Calibri" w:hAnsi="Cambria" w:cs="Calibri"/>
          <w:b/>
          <w:bCs/>
          <w:sz w:val="24"/>
          <w:szCs w:val="24"/>
        </w:rPr>
      </w:pPr>
      <w:r w:rsidRPr="00CD2F5C">
        <w:rPr>
          <w:rFonts w:ascii="Cambria" w:eastAsia="Calibri" w:hAnsi="Cambria" w:cs="Calibri"/>
          <w:b/>
          <w:bCs/>
          <w:sz w:val="24"/>
          <w:szCs w:val="24"/>
        </w:rPr>
        <w:br w:type="page"/>
      </w:r>
    </w:p>
    <w:p w14:paraId="1404FFF5" w14:textId="77777777" w:rsidR="002D1216" w:rsidRPr="00CD2F5C" w:rsidRDefault="002D1216" w:rsidP="00CD2F5C">
      <w:pPr>
        <w:pStyle w:val="Heading11"/>
        <w:jc w:val="center"/>
        <w:rPr>
          <w:rFonts w:eastAsia="Calibri"/>
        </w:rPr>
      </w:pPr>
      <w:bookmarkStart w:id="9" w:name="_Toc181362878"/>
      <w:r w:rsidRPr="00CD2F5C">
        <w:rPr>
          <w:rFonts w:eastAsia="Calibri"/>
        </w:rPr>
        <w:lastRenderedPageBreak/>
        <w:t>CREDIT AUTHORSHIP STATEMENT</w:t>
      </w:r>
      <w:bookmarkEnd w:id="9"/>
    </w:p>
    <w:p w14:paraId="156DFCD5" w14:textId="77777777" w:rsidR="00CD2F5C" w:rsidRDefault="00CD2F5C" w:rsidP="002D1216">
      <w:pPr>
        <w:spacing w:line="480" w:lineRule="auto"/>
        <w:rPr>
          <w:rFonts w:ascii="Cambria" w:eastAsia="Calibri" w:hAnsi="Cambria" w:cs="Calibri"/>
          <w:b/>
          <w:bCs/>
          <w:sz w:val="24"/>
          <w:szCs w:val="24"/>
        </w:rPr>
      </w:pPr>
    </w:p>
    <w:p w14:paraId="1EDC0FF4" w14:textId="470B3E9E" w:rsidR="002D1216" w:rsidRPr="00CD2F5C" w:rsidRDefault="002D1216" w:rsidP="002B0F75">
      <w:pPr>
        <w:spacing w:line="360" w:lineRule="auto"/>
        <w:rPr>
          <w:rFonts w:ascii="Cambria" w:eastAsia="Calibri" w:hAnsi="Cambria" w:cs="Calibri"/>
          <w:sz w:val="24"/>
          <w:szCs w:val="24"/>
        </w:rPr>
      </w:pPr>
      <w:r w:rsidRPr="00CD2F5C">
        <w:rPr>
          <w:rFonts w:ascii="Cambria" w:eastAsia="Calibri" w:hAnsi="Cambria" w:cs="Calibri"/>
          <w:b/>
          <w:bCs/>
          <w:sz w:val="24"/>
          <w:szCs w:val="24"/>
        </w:rPr>
        <w:t xml:space="preserve">Chapter 2: </w:t>
      </w:r>
      <w:r w:rsidRPr="00CD2F5C">
        <w:rPr>
          <w:rFonts w:ascii="Cambria" w:eastAsia="Calibri" w:hAnsi="Cambria" w:cs="Calibri"/>
          <w:sz w:val="24"/>
          <w:szCs w:val="24"/>
        </w:rPr>
        <w:t xml:space="preserve">Dalechek DE, </w:t>
      </w:r>
      <w:bookmarkStart w:id="10" w:name="_Hlk162458964"/>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L, McIntosh G, Whittaker </w:t>
      </w:r>
      <w:bookmarkEnd w:id="10"/>
      <w:r w:rsidRPr="00CD2F5C">
        <w:rPr>
          <w:rFonts w:ascii="Cambria" w:eastAsia="Calibri" w:hAnsi="Cambria" w:cs="Calibri"/>
          <w:sz w:val="24"/>
          <w:szCs w:val="24"/>
        </w:rPr>
        <w:t xml:space="preserve">AC. Anxiety, history of childhood adversity, and experiencing chronic pain in adulthood: A systematic literature review and meta-analysis. </w:t>
      </w:r>
      <w:proofErr w:type="spellStart"/>
      <w:r w:rsidRPr="002B0F75">
        <w:rPr>
          <w:rFonts w:ascii="Cambria" w:eastAsia="Calibri" w:hAnsi="Cambria" w:cs="Calibri"/>
          <w:i/>
          <w:iCs/>
          <w:sz w:val="24"/>
          <w:szCs w:val="24"/>
        </w:rPr>
        <w:t>Eur</w:t>
      </w:r>
      <w:proofErr w:type="spellEnd"/>
      <w:r w:rsidRPr="002B0F75">
        <w:rPr>
          <w:rFonts w:ascii="Cambria" w:eastAsia="Calibri" w:hAnsi="Cambria" w:cs="Calibri"/>
          <w:i/>
          <w:iCs/>
          <w:sz w:val="24"/>
          <w:szCs w:val="24"/>
        </w:rPr>
        <w:t xml:space="preserve"> J Pain. 2024</w:t>
      </w:r>
      <w:r w:rsidRPr="00CD2F5C">
        <w:rPr>
          <w:rFonts w:ascii="Cambria" w:eastAsia="Calibri" w:hAnsi="Cambria" w:cs="Calibri"/>
          <w:sz w:val="24"/>
          <w:szCs w:val="24"/>
        </w:rPr>
        <w:t xml:space="preserve"> Jan 8. </w:t>
      </w:r>
      <w:proofErr w:type="spellStart"/>
      <w:r w:rsidRPr="00CD2F5C">
        <w:rPr>
          <w:rFonts w:ascii="Cambria" w:eastAsia="Calibri" w:hAnsi="Cambria" w:cs="Calibri"/>
          <w:sz w:val="24"/>
          <w:szCs w:val="24"/>
        </w:rPr>
        <w:t>doi</w:t>
      </w:r>
      <w:proofErr w:type="spellEnd"/>
      <w:r w:rsidRPr="00CD2F5C">
        <w:rPr>
          <w:rFonts w:ascii="Cambria" w:eastAsia="Calibri" w:hAnsi="Cambria" w:cs="Calibri"/>
          <w:sz w:val="24"/>
          <w:szCs w:val="24"/>
        </w:rPr>
        <w:t xml:space="preserve">: 10.1002/ejp.2232. </w:t>
      </w:r>
    </w:p>
    <w:p w14:paraId="7B5CD516" w14:textId="77777777" w:rsidR="002D1216" w:rsidRPr="00CD2F5C" w:rsidRDefault="002D1216" w:rsidP="002B0F75">
      <w:pPr>
        <w:spacing w:line="360" w:lineRule="auto"/>
        <w:rPr>
          <w:rFonts w:ascii="Cambria" w:eastAsia="Calibri" w:hAnsi="Cambria" w:cs="Calibri"/>
          <w:sz w:val="24"/>
          <w:szCs w:val="24"/>
        </w:rPr>
      </w:pPr>
      <w:r w:rsidRPr="00CD2F5C">
        <w:rPr>
          <w:rFonts w:ascii="Cambria" w:eastAsia="Calibri" w:hAnsi="Cambria" w:cs="Calibri"/>
          <w:b/>
          <w:bCs/>
          <w:sz w:val="24"/>
          <w:szCs w:val="24"/>
        </w:rPr>
        <w:t>Danielle Dalechek:</w:t>
      </w:r>
      <w:r w:rsidRPr="00CD2F5C">
        <w:rPr>
          <w:rFonts w:ascii="Cambria" w:eastAsia="Calibri" w:hAnsi="Cambria" w:cs="Calibri"/>
          <w:sz w:val="24"/>
          <w:szCs w:val="24"/>
        </w:rPr>
        <w:t> Conceptualization, Methodology, Software, Data curation, Writing- Original draft preparation, Visualization. </w:t>
      </w:r>
      <w:r w:rsidRPr="00CD2F5C">
        <w:rPr>
          <w:rFonts w:ascii="Cambria" w:eastAsia="Calibri" w:hAnsi="Cambria" w:cs="Calibri"/>
          <w:b/>
          <w:bCs/>
          <w:sz w:val="24"/>
          <w:szCs w:val="24"/>
        </w:rPr>
        <w:t xml:space="preserve"> Line </w:t>
      </w:r>
      <w:proofErr w:type="spellStart"/>
      <w:r w:rsidRPr="00CD2F5C">
        <w:rPr>
          <w:rFonts w:ascii="Cambria" w:eastAsia="Calibri" w:hAnsi="Cambria" w:cs="Calibri"/>
          <w:b/>
          <w:bCs/>
          <w:sz w:val="24"/>
          <w:szCs w:val="24"/>
        </w:rPr>
        <w:t>Caes</w:t>
      </w:r>
      <w:proofErr w:type="spellEnd"/>
      <w:r w:rsidRPr="00CD2F5C">
        <w:rPr>
          <w:rFonts w:ascii="Cambria" w:eastAsia="Calibri" w:hAnsi="Cambria" w:cs="Calibri"/>
          <w:b/>
          <w:bCs/>
          <w:sz w:val="24"/>
          <w:szCs w:val="24"/>
        </w:rPr>
        <w:t>, Gwenne McIntosh, Anna C. Whittaker</w:t>
      </w:r>
      <w:r w:rsidRPr="00CD2F5C">
        <w:rPr>
          <w:rFonts w:ascii="Cambria" w:eastAsia="Calibri" w:hAnsi="Cambria" w:cs="Calibri"/>
          <w:sz w:val="24"/>
          <w:szCs w:val="24"/>
        </w:rPr>
        <w:t>: Supervision, Conceptualization, Writing-Reviewing, and Editing</w:t>
      </w:r>
      <w:r w:rsidRPr="00CD2F5C">
        <w:rPr>
          <w:rFonts w:ascii="Cambria" w:eastAsia="Calibri" w:hAnsi="Cambria" w:cs="Calibri"/>
          <w:b/>
          <w:bCs/>
          <w:sz w:val="24"/>
          <w:szCs w:val="24"/>
        </w:rPr>
        <w:t>.</w:t>
      </w:r>
    </w:p>
    <w:p w14:paraId="336797D7" w14:textId="77777777" w:rsidR="002D1216" w:rsidRPr="00CD2F5C" w:rsidRDefault="002D1216" w:rsidP="002B0F75">
      <w:pPr>
        <w:spacing w:line="360" w:lineRule="auto"/>
        <w:rPr>
          <w:rFonts w:ascii="Cambria" w:eastAsia="Calibri" w:hAnsi="Cambria" w:cs="Calibri"/>
          <w:b/>
          <w:bCs/>
          <w:sz w:val="24"/>
          <w:szCs w:val="24"/>
        </w:rPr>
      </w:pPr>
    </w:p>
    <w:p w14:paraId="2838EDD8" w14:textId="77777777" w:rsidR="002D1216" w:rsidRPr="00CD2F5C" w:rsidRDefault="002D1216" w:rsidP="002B0F75">
      <w:pPr>
        <w:spacing w:line="360" w:lineRule="auto"/>
        <w:rPr>
          <w:rFonts w:ascii="Cambria" w:eastAsia="Calibri" w:hAnsi="Cambria" w:cs="Calibri"/>
          <w:b/>
          <w:bCs/>
          <w:sz w:val="24"/>
          <w:szCs w:val="24"/>
        </w:rPr>
      </w:pPr>
      <w:r w:rsidRPr="00CD2F5C">
        <w:rPr>
          <w:rFonts w:ascii="Cambria" w:eastAsia="Calibri" w:hAnsi="Cambria" w:cs="Calibri"/>
          <w:b/>
          <w:bCs/>
          <w:sz w:val="24"/>
          <w:szCs w:val="24"/>
        </w:rPr>
        <w:t>Chapter 3:</w:t>
      </w:r>
      <w:r w:rsidRPr="00CD2F5C">
        <w:rPr>
          <w:rFonts w:ascii="Cambria" w:eastAsia="Calibri" w:hAnsi="Cambria" w:cs="Calibri"/>
          <w:sz w:val="24"/>
          <w:szCs w:val="24"/>
        </w:rPr>
        <w:t xml:space="preserve"> Dalechek DE, </w:t>
      </w:r>
      <w:proofErr w:type="spellStart"/>
      <w:r w:rsidRPr="00CD2F5C">
        <w:rPr>
          <w:rFonts w:ascii="Cambria" w:eastAsia="Calibri" w:hAnsi="Cambria" w:cs="Calibri"/>
          <w:sz w:val="24"/>
          <w:szCs w:val="24"/>
        </w:rPr>
        <w:t>Caes</w:t>
      </w:r>
      <w:proofErr w:type="spellEnd"/>
      <w:r w:rsidRPr="00CD2F5C">
        <w:rPr>
          <w:rFonts w:ascii="Cambria" w:eastAsia="Calibri" w:hAnsi="Cambria" w:cs="Calibri"/>
          <w:sz w:val="24"/>
          <w:szCs w:val="24"/>
        </w:rPr>
        <w:t xml:space="preserve"> L, McIntosh G, Whittaker AC. An analysis on history of childhood adversity, anxiety, and chronic pain in adulthood and the influence of inflammatory biomarker C-reactive protein. </w:t>
      </w:r>
      <w:r w:rsidRPr="00CD2F5C">
        <w:rPr>
          <w:rFonts w:ascii="Cambria" w:eastAsia="Calibri" w:hAnsi="Cambria" w:cs="Calibri"/>
          <w:i/>
          <w:iCs/>
          <w:sz w:val="24"/>
          <w:szCs w:val="24"/>
        </w:rPr>
        <w:t>Sci Rep.</w:t>
      </w:r>
      <w:r w:rsidRPr="00CD2F5C">
        <w:rPr>
          <w:rFonts w:ascii="Cambria" w:eastAsia="Calibri" w:hAnsi="Cambria" w:cs="Calibri"/>
          <w:sz w:val="24"/>
          <w:szCs w:val="24"/>
        </w:rPr>
        <w:t xml:space="preserve"> 2023 Oct 21;13(1):18000. </w:t>
      </w:r>
      <w:proofErr w:type="spellStart"/>
      <w:r w:rsidRPr="00CD2F5C">
        <w:rPr>
          <w:rFonts w:ascii="Cambria" w:eastAsia="Calibri" w:hAnsi="Cambria" w:cs="Calibri"/>
          <w:sz w:val="24"/>
          <w:szCs w:val="24"/>
        </w:rPr>
        <w:t>doi</w:t>
      </w:r>
      <w:proofErr w:type="spellEnd"/>
      <w:r w:rsidRPr="00CD2F5C">
        <w:rPr>
          <w:rFonts w:ascii="Cambria" w:eastAsia="Calibri" w:hAnsi="Cambria" w:cs="Calibri"/>
          <w:sz w:val="24"/>
          <w:szCs w:val="24"/>
        </w:rPr>
        <w:t>: 10.1038/s41598-023-44874-1.</w:t>
      </w:r>
    </w:p>
    <w:p w14:paraId="2B095009" w14:textId="77777777" w:rsidR="002D1216" w:rsidRPr="00CD2F5C" w:rsidRDefault="002D1216" w:rsidP="002B0F75">
      <w:pPr>
        <w:spacing w:line="360" w:lineRule="auto"/>
        <w:rPr>
          <w:rFonts w:ascii="Cambria" w:eastAsia="Calibri" w:hAnsi="Cambria" w:cs="Calibri"/>
          <w:b/>
          <w:bCs/>
          <w:sz w:val="24"/>
          <w:szCs w:val="24"/>
        </w:rPr>
      </w:pPr>
      <w:r w:rsidRPr="00CD2F5C">
        <w:rPr>
          <w:rFonts w:ascii="Cambria" w:eastAsia="Calibri" w:hAnsi="Cambria" w:cs="Calibri"/>
          <w:b/>
          <w:bCs/>
          <w:sz w:val="24"/>
          <w:szCs w:val="24"/>
        </w:rPr>
        <w:t>Danielle Dalechek:</w:t>
      </w:r>
      <w:r w:rsidRPr="00CD2F5C">
        <w:rPr>
          <w:rFonts w:ascii="Cambria" w:eastAsia="Calibri" w:hAnsi="Cambria" w:cs="Calibri"/>
          <w:sz w:val="24"/>
          <w:szCs w:val="24"/>
        </w:rPr>
        <w:t> Conceptualization, Methodology, Software, Data curation, Writing- Original draft preparation, Visualization. </w:t>
      </w:r>
      <w:r w:rsidRPr="00CD2F5C">
        <w:rPr>
          <w:rFonts w:ascii="Cambria" w:eastAsia="Calibri" w:hAnsi="Cambria" w:cs="Calibri"/>
          <w:b/>
          <w:bCs/>
          <w:sz w:val="24"/>
          <w:szCs w:val="24"/>
        </w:rPr>
        <w:t xml:space="preserve"> Line </w:t>
      </w:r>
      <w:proofErr w:type="spellStart"/>
      <w:r w:rsidRPr="00CD2F5C">
        <w:rPr>
          <w:rFonts w:ascii="Cambria" w:eastAsia="Calibri" w:hAnsi="Cambria" w:cs="Calibri"/>
          <w:b/>
          <w:bCs/>
          <w:sz w:val="24"/>
          <w:szCs w:val="24"/>
        </w:rPr>
        <w:t>Caes</w:t>
      </w:r>
      <w:proofErr w:type="spellEnd"/>
      <w:r w:rsidRPr="00CD2F5C">
        <w:rPr>
          <w:rFonts w:ascii="Cambria" w:eastAsia="Calibri" w:hAnsi="Cambria" w:cs="Calibri"/>
          <w:b/>
          <w:bCs/>
          <w:sz w:val="24"/>
          <w:szCs w:val="24"/>
        </w:rPr>
        <w:t>, Gwenne McIntosh, Anna C. Whittaker</w:t>
      </w:r>
      <w:r w:rsidRPr="00CD2F5C">
        <w:rPr>
          <w:rFonts w:ascii="Cambria" w:eastAsia="Calibri" w:hAnsi="Cambria" w:cs="Calibri"/>
          <w:sz w:val="24"/>
          <w:szCs w:val="24"/>
        </w:rPr>
        <w:t>: Supervision, Conceptualization, Writing-Reviewing, and Editing</w:t>
      </w:r>
      <w:r w:rsidRPr="00CD2F5C">
        <w:rPr>
          <w:rFonts w:ascii="Cambria" w:eastAsia="Calibri" w:hAnsi="Cambria" w:cs="Calibri"/>
          <w:b/>
          <w:bCs/>
          <w:sz w:val="24"/>
          <w:szCs w:val="24"/>
        </w:rPr>
        <w:t>.</w:t>
      </w:r>
    </w:p>
    <w:p w14:paraId="1F503792" w14:textId="77777777" w:rsidR="002D1216" w:rsidRPr="00CD2F5C" w:rsidRDefault="002D1216" w:rsidP="002B0F75">
      <w:pPr>
        <w:spacing w:line="360" w:lineRule="auto"/>
        <w:rPr>
          <w:rFonts w:ascii="Cambria" w:eastAsia="Calibri" w:hAnsi="Cambria" w:cs="Calibri"/>
          <w:b/>
          <w:bCs/>
          <w:sz w:val="24"/>
          <w:szCs w:val="24"/>
        </w:rPr>
      </w:pPr>
    </w:p>
    <w:p w14:paraId="6370AEC2" w14:textId="7FBA6AAD" w:rsidR="002D1216" w:rsidRPr="007C3AC5" w:rsidRDefault="179D8B01" w:rsidP="002B0F75">
      <w:pPr>
        <w:spacing w:after="0" w:line="360" w:lineRule="auto"/>
        <w:rPr>
          <w:rFonts w:ascii="Cambria" w:eastAsia="Calibri" w:hAnsi="Cambria" w:cs="Calibri"/>
          <w:b/>
          <w:bCs/>
          <w:sz w:val="24"/>
          <w:szCs w:val="24"/>
        </w:rPr>
      </w:pPr>
      <w:r w:rsidRPr="007C3AC5">
        <w:rPr>
          <w:rFonts w:ascii="Cambria" w:eastAsia="Calibri" w:hAnsi="Cambria" w:cs="Calibri"/>
          <w:b/>
          <w:bCs/>
          <w:sz w:val="24"/>
          <w:szCs w:val="24"/>
        </w:rPr>
        <w:t>Chapter 4:</w:t>
      </w:r>
      <w:r w:rsidR="04E04ED1" w:rsidRPr="007C3AC5">
        <w:rPr>
          <w:rFonts w:ascii="Cambria" w:eastAsia="Calibri" w:hAnsi="Cambria" w:cs="Calibri"/>
          <w:b/>
          <w:bCs/>
          <w:sz w:val="24"/>
          <w:szCs w:val="24"/>
        </w:rPr>
        <w:t xml:space="preserve"> </w:t>
      </w:r>
      <w:r w:rsidR="04E04ED1" w:rsidRPr="007C3AC5">
        <w:rPr>
          <w:rFonts w:ascii="Cambria" w:eastAsia="Calibri" w:hAnsi="Cambria" w:cs="Calibri"/>
          <w:sz w:val="24"/>
          <w:szCs w:val="24"/>
        </w:rPr>
        <w:t>Dalechek, D.,</w:t>
      </w:r>
      <w:r w:rsidR="04E04ED1" w:rsidRPr="007C3AC5">
        <w:rPr>
          <w:rFonts w:ascii="Cambria" w:eastAsia="Calibri" w:hAnsi="Cambria" w:cs="Calibri"/>
          <w:b/>
          <w:bCs/>
          <w:sz w:val="24"/>
          <w:szCs w:val="24"/>
        </w:rPr>
        <w:t xml:space="preserve"> </w:t>
      </w:r>
      <w:r w:rsidR="04E04ED1" w:rsidRPr="007C3AC5">
        <w:rPr>
          <w:rFonts w:ascii="Cambria" w:eastAsia="Calibri" w:hAnsi="Cambria" w:cs="Calibri"/>
          <w:sz w:val="24"/>
          <w:szCs w:val="24"/>
        </w:rPr>
        <w:t xml:space="preserve">Whittaker, A., McIntosh, G., &amp; </w:t>
      </w:r>
      <w:proofErr w:type="spellStart"/>
      <w:r w:rsidR="04E04ED1" w:rsidRPr="007C3AC5">
        <w:rPr>
          <w:rFonts w:ascii="Cambria" w:eastAsia="Calibri" w:hAnsi="Cambria" w:cs="Calibri"/>
          <w:sz w:val="24"/>
          <w:szCs w:val="24"/>
        </w:rPr>
        <w:t>Caes</w:t>
      </w:r>
      <w:proofErr w:type="spellEnd"/>
      <w:r w:rsidR="04E04ED1" w:rsidRPr="007C3AC5">
        <w:rPr>
          <w:rFonts w:ascii="Cambria" w:eastAsia="Calibri" w:hAnsi="Cambria" w:cs="Calibri"/>
          <w:sz w:val="24"/>
          <w:szCs w:val="24"/>
        </w:rPr>
        <w:t xml:space="preserve">, L. </w:t>
      </w:r>
      <w:r w:rsidRPr="007C3AC5">
        <w:rPr>
          <w:rFonts w:ascii="Cambria" w:eastAsia="Calibri" w:hAnsi="Cambria" w:cs="Calibri"/>
          <w:b/>
          <w:bCs/>
          <w:sz w:val="24"/>
          <w:szCs w:val="24"/>
        </w:rPr>
        <w:t xml:space="preserve"> </w:t>
      </w:r>
      <w:r w:rsidR="752AF43D" w:rsidRPr="007C3AC5">
        <w:rPr>
          <w:rFonts w:ascii="Cambria" w:eastAsia="Open Sans" w:hAnsi="Cambria" w:cs="Open Sans"/>
          <w:color w:val="000000" w:themeColor="text1"/>
          <w:sz w:val="24"/>
          <w:szCs w:val="24"/>
        </w:rPr>
        <w:t xml:space="preserve">An Analysis on the Impact of Childhood Adversity, Anxiety, and C-reactive Protein on Adult Chronic Pain in the Midlife in the United States (MIDUS) study. </w:t>
      </w:r>
      <w:r w:rsidR="752AF43D" w:rsidRPr="007C3AC5">
        <w:rPr>
          <w:rFonts w:ascii="Cambria" w:eastAsia="Open Sans" w:hAnsi="Cambria" w:cs="Open Sans"/>
          <w:i/>
          <w:iCs/>
          <w:color w:val="000000" w:themeColor="text1"/>
          <w:sz w:val="24"/>
          <w:szCs w:val="24"/>
        </w:rPr>
        <w:t xml:space="preserve">Psychosomatic Medicine, </w:t>
      </w:r>
      <w:r w:rsidR="004447E8">
        <w:rPr>
          <w:rFonts w:ascii="Cambria" w:eastAsia="Open Sans" w:hAnsi="Cambria" w:cs="Open Sans"/>
          <w:i/>
          <w:iCs/>
          <w:color w:val="000000" w:themeColor="text1"/>
          <w:sz w:val="24"/>
          <w:szCs w:val="24"/>
        </w:rPr>
        <w:t>Accepted status but pre-publication stage</w:t>
      </w:r>
      <w:r w:rsidR="752AF43D" w:rsidRPr="007C3AC5">
        <w:rPr>
          <w:rFonts w:ascii="Cambria" w:eastAsia="Open Sans" w:hAnsi="Cambria" w:cs="Open Sans"/>
          <w:i/>
          <w:iCs/>
          <w:color w:val="000000" w:themeColor="text1"/>
          <w:sz w:val="24"/>
          <w:szCs w:val="24"/>
        </w:rPr>
        <w:t xml:space="preserve"> – Introduction and Methods </w:t>
      </w:r>
      <w:r w:rsidR="007C3AC5">
        <w:rPr>
          <w:rFonts w:ascii="Cambria" w:eastAsia="Open Sans" w:hAnsi="Cambria" w:cs="Open Sans"/>
          <w:i/>
          <w:iCs/>
          <w:color w:val="000000" w:themeColor="text1"/>
          <w:sz w:val="24"/>
          <w:szCs w:val="24"/>
        </w:rPr>
        <w:t xml:space="preserve">previously </w:t>
      </w:r>
      <w:r w:rsidR="752AF43D" w:rsidRPr="007C3AC5">
        <w:rPr>
          <w:rFonts w:ascii="Cambria" w:eastAsia="Open Sans" w:hAnsi="Cambria" w:cs="Open Sans"/>
          <w:i/>
          <w:iCs/>
          <w:color w:val="000000" w:themeColor="text1"/>
          <w:sz w:val="24"/>
          <w:szCs w:val="24"/>
        </w:rPr>
        <w:t>accepted as Registered Report.</w:t>
      </w:r>
    </w:p>
    <w:p w14:paraId="74ED36B1" w14:textId="77777777" w:rsidR="002D1216" w:rsidRPr="00CD2F5C" w:rsidRDefault="002D1216" w:rsidP="002B0F75">
      <w:pPr>
        <w:spacing w:line="360" w:lineRule="auto"/>
        <w:contextualSpacing/>
        <w:rPr>
          <w:rFonts w:ascii="Cambria" w:eastAsia="Calibri" w:hAnsi="Cambria" w:cs="Times New Roman"/>
          <w:sz w:val="24"/>
          <w:szCs w:val="24"/>
        </w:rPr>
      </w:pPr>
      <w:r w:rsidRPr="00CD2F5C">
        <w:rPr>
          <w:rFonts w:ascii="Cambria" w:eastAsia="Calibri" w:hAnsi="Cambria" w:cs="Calibri"/>
          <w:b/>
          <w:bCs/>
          <w:sz w:val="24"/>
          <w:szCs w:val="24"/>
        </w:rPr>
        <w:t>Danielle Dalechek:</w:t>
      </w:r>
      <w:r w:rsidRPr="00CD2F5C">
        <w:rPr>
          <w:rFonts w:ascii="Cambria" w:eastAsia="Calibri" w:hAnsi="Cambria" w:cs="Calibri"/>
          <w:sz w:val="24"/>
          <w:szCs w:val="24"/>
        </w:rPr>
        <w:t> Conceptualization, Methodology, Software, Data curation, Writing- Original draft preparation, Visualization. </w:t>
      </w:r>
      <w:r w:rsidRPr="00CD2F5C">
        <w:rPr>
          <w:rFonts w:ascii="Cambria" w:eastAsia="Calibri" w:hAnsi="Cambria" w:cs="Calibri"/>
          <w:b/>
          <w:bCs/>
          <w:sz w:val="24"/>
          <w:szCs w:val="24"/>
        </w:rPr>
        <w:t xml:space="preserve"> Line </w:t>
      </w:r>
      <w:proofErr w:type="spellStart"/>
      <w:r w:rsidRPr="00CD2F5C">
        <w:rPr>
          <w:rFonts w:ascii="Cambria" w:eastAsia="Calibri" w:hAnsi="Cambria" w:cs="Calibri"/>
          <w:b/>
          <w:bCs/>
          <w:sz w:val="24"/>
          <w:szCs w:val="24"/>
        </w:rPr>
        <w:t>Caes</w:t>
      </w:r>
      <w:proofErr w:type="spellEnd"/>
      <w:r w:rsidRPr="00CD2F5C">
        <w:rPr>
          <w:rFonts w:ascii="Cambria" w:eastAsia="Calibri" w:hAnsi="Cambria" w:cs="Calibri"/>
          <w:b/>
          <w:bCs/>
          <w:sz w:val="24"/>
          <w:szCs w:val="24"/>
        </w:rPr>
        <w:t>, Gwenne McIntosh, Anna C. Whittaker</w:t>
      </w:r>
      <w:r w:rsidRPr="00CD2F5C">
        <w:rPr>
          <w:rFonts w:ascii="Cambria" w:eastAsia="Calibri" w:hAnsi="Cambria" w:cs="Calibri"/>
          <w:sz w:val="24"/>
          <w:szCs w:val="24"/>
        </w:rPr>
        <w:t>: Supervision, Conceptualization, Writing-Reviewing, and Editing</w:t>
      </w:r>
      <w:r w:rsidRPr="00CD2F5C">
        <w:rPr>
          <w:rFonts w:ascii="Cambria" w:eastAsia="Calibri" w:hAnsi="Cambria" w:cs="Calibri"/>
          <w:b/>
          <w:bCs/>
          <w:sz w:val="24"/>
          <w:szCs w:val="24"/>
        </w:rPr>
        <w:t>.</w:t>
      </w:r>
      <w:r w:rsidRPr="00CD2F5C" w:rsidDel="00682435">
        <w:rPr>
          <w:rFonts w:ascii="Cambria" w:eastAsia="Calibri" w:hAnsi="Cambria" w:cs="Calibri"/>
          <w:b/>
          <w:bCs/>
          <w:sz w:val="24"/>
          <w:szCs w:val="24"/>
        </w:rPr>
        <w:t xml:space="preserve"> </w:t>
      </w:r>
    </w:p>
    <w:p w14:paraId="4B582BEC" w14:textId="77777777" w:rsidR="002D1216" w:rsidRPr="00CD2F5C" w:rsidRDefault="002D1216" w:rsidP="002B0F75">
      <w:pPr>
        <w:spacing w:line="360" w:lineRule="auto"/>
        <w:contextualSpacing/>
        <w:jc w:val="center"/>
        <w:rPr>
          <w:rFonts w:ascii="Cambria" w:eastAsia="Calibri" w:hAnsi="Cambria" w:cs="Times New Roman"/>
          <w:sz w:val="24"/>
          <w:szCs w:val="24"/>
        </w:rPr>
        <w:sectPr w:rsidR="002D1216" w:rsidRPr="00CD2F5C" w:rsidSect="002D1216">
          <w:headerReference w:type="default" r:id="rId16"/>
          <w:footerReference w:type="default" r:id="rId17"/>
          <w:pgSz w:w="12240" w:h="15840"/>
          <w:pgMar w:top="1440" w:right="1440" w:bottom="1440" w:left="1440" w:header="720" w:footer="720" w:gutter="0"/>
          <w:pgNumType w:fmt="lowerRoman" w:start="2"/>
          <w:cols w:space="720"/>
          <w:docGrid w:linePitch="360"/>
        </w:sectPr>
      </w:pPr>
    </w:p>
    <w:p w14:paraId="777C2613" w14:textId="3B4A6E36" w:rsidR="002D1216" w:rsidRPr="00CD2F5C" w:rsidRDefault="00CD2F5C" w:rsidP="00684AAB">
      <w:pPr>
        <w:pStyle w:val="Heading1"/>
        <w:spacing w:line="360" w:lineRule="auto"/>
        <w:rPr>
          <w:rFonts w:eastAsia="Calibri"/>
        </w:rPr>
      </w:pPr>
      <w:bookmarkStart w:id="11" w:name="_Toc181362879"/>
      <w:r>
        <w:rPr>
          <w:rFonts w:eastAsia="Calibri"/>
        </w:rPr>
        <w:lastRenderedPageBreak/>
        <w:t xml:space="preserve">CHAPTER 1: </w:t>
      </w:r>
      <w:r w:rsidRPr="00CD2F5C">
        <w:rPr>
          <w:rFonts w:eastAsia="Calibri"/>
        </w:rPr>
        <w:t>INTRODUCTION</w:t>
      </w:r>
      <w:bookmarkEnd w:id="11"/>
    </w:p>
    <w:p w14:paraId="70CD91F9" w14:textId="77777777" w:rsidR="002D1216" w:rsidRPr="00CD2F5C" w:rsidRDefault="002D1216" w:rsidP="002B0F75">
      <w:pPr>
        <w:spacing w:line="360" w:lineRule="auto"/>
        <w:rPr>
          <w:rFonts w:ascii="Cambria" w:eastAsia="Calibri" w:hAnsi="Cambria" w:cs="Times New Roman"/>
          <w:i/>
          <w:iCs/>
          <w:sz w:val="24"/>
          <w:szCs w:val="24"/>
          <w:highlight w:val="yellow"/>
        </w:rPr>
      </w:pPr>
      <w:r w:rsidRPr="00CD2F5C">
        <w:rPr>
          <w:rFonts w:ascii="Cambria" w:eastAsia="Calibri" w:hAnsi="Cambria" w:cs="Times New Roman"/>
          <w:b/>
          <w:bCs/>
          <w:sz w:val="24"/>
          <w:szCs w:val="24"/>
        </w:rPr>
        <w:t>Chronic Pain</w:t>
      </w:r>
    </w:p>
    <w:p w14:paraId="1965ED07" w14:textId="5A731FD2" w:rsidR="002D1216" w:rsidRPr="00CD2F5C" w:rsidRDefault="179D8B01" w:rsidP="002B0F75">
      <w:pPr>
        <w:spacing w:line="360" w:lineRule="auto"/>
        <w:rPr>
          <w:rFonts w:ascii="Cambria" w:eastAsia="Calibri" w:hAnsi="Cambria" w:cs="Times New Roman"/>
          <w:sz w:val="24"/>
          <w:szCs w:val="24"/>
        </w:rPr>
      </w:pPr>
      <w:r w:rsidRPr="1E06730D">
        <w:rPr>
          <w:rFonts w:ascii="Cambria" w:eastAsia="Calibri" w:hAnsi="Cambria" w:cs="Times New Roman"/>
          <w:sz w:val="24"/>
          <w:szCs w:val="24"/>
        </w:rPr>
        <w:t>Chronic pain, defined by the International Association for the Study of Pain as “pain which has persisted beyond normal tissue healing time” (</w:t>
      </w:r>
      <w:proofErr w:type="spellStart"/>
      <w:r w:rsidRPr="1E06730D">
        <w:rPr>
          <w:rFonts w:ascii="Cambria" w:eastAsia="Calibri" w:hAnsi="Cambria" w:cs="Times New Roman"/>
          <w:sz w:val="24"/>
          <w:szCs w:val="24"/>
        </w:rPr>
        <w:t>Merskey</w:t>
      </w:r>
      <w:proofErr w:type="spellEnd"/>
      <w:r w:rsidRPr="1E06730D">
        <w:rPr>
          <w:rFonts w:ascii="Cambria" w:eastAsia="Calibri" w:hAnsi="Cambria" w:cs="Times New Roman"/>
          <w:sz w:val="24"/>
          <w:szCs w:val="24"/>
        </w:rPr>
        <w:t xml:space="preserve"> et al., 1994, p. 209–214) which, in the absence of other explanatory factors, is typically a duration of at least three months (Mills et al., 2019), </w:t>
      </w:r>
      <w:r w:rsidR="150906CE" w:rsidRPr="1E06730D">
        <w:rPr>
          <w:rFonts w:ascii="Cambria" w:eastAsia="Calibri" w:hAnsi="Cambria" w:cs="Times New Roman"/>
          <w:sz w:val="24"/>
          <w:szCs w:val="24"/>
        </w:rPr>
        <w:t xml:space="preserve">and </w:t>
      </w:r>
      <w:r w:rsidRPr="1E06730D">
        <w:rPr>
          <w:rFonts w:ascii="Cambria" w:eastAsia="Calibri" w:hAnsi="Cambria" w:cs="Times New Roman"/>
          <w:sz w:val="24"/>
          <w:szCs w:val="24"/>
        </w:rPr>
        <w:t xml:space="preserve">often arises from a combination of events or series of factors. In 2016, chronic pain occurred in roughly 1.9 billion adults globally according to the Global Burden of Disease Study (Vos et al., 2017). Chronic pain affects 13–50% of adults in the UK (Fayaz et al., 2016; Breivik et al., 2006), and 11 to 25% of adults in the US (Nahin et al., 2012; </w:t>
      </w:r>
      <w:proofErr w:type="spellStart"/>
      <w:r w:rsidRPr="1E06730D">
        <w:rPr>
          <w:rFonts w:ascii="Cambria" w:eastAsia="Calibri" w:hAnsi="Cambria" w:cs="Times New Roman"/>
          <w:sz w:val="24"/>
          <w:szCs w:val="24"/>
        </w:rPr>
        <w:t>Dydyk</w:t>
      </w:r>
      <w:proofErr w:type="spellEnd"/>
      <w:r w:rsidRPr="1E06730D">
        <w:rPr>
          <w:rFonts w:ascii="Cambria" w:eastAsia="Calibri" w:hAnsi="Cambria" w:cs="Times New Roman"/>
          <w:sz w:val="24"/>
          <w:szCs w:val="24"/>
        </w:rPr>
        <w:t xml:space="preserve"> et al., 2020).</w:t>
      </w:r>
    </w:p>
    <w:p w14:paraId="7642EAD9" w14:textId="7D132C9F" w:rsidR="002D1216" w:rsidRPr="00CD2F5C" w:rsidRDefault="179D8B01" w:rsidP="002B0F75">
      <w:pPr>
        <w:spacing w:line="360" w:lineRule="auto"/>
        <w:rPr>
          <w:rFonts w:ascii="Cambria" w:eastAsia="Calibri" w:hAnsi="Cambria" w:cs="Times New Roman"/>
          <w:sz w:val="24"/>
          <w:szCs w:val="24"/>
        </w:rPr>
      </w:pPr>
      <w:r w:rsidRPr="6E2346AC">
        <w:rPr>
          <w:rFonts w:ascii="Cambria" w:eastAsia="Calibri" w:hAnsi="Cambria" w:cs="Times New Roman"/>
          <w:sz w:val="24"/>
          <w:szCs w:val="24"/>
        </w:rPr>
        <w:t xml:space="preserve">Additionally, the financial impact of chronic pain poses a substantial burden on individuals experiencing it, </w:t>
      </w:r>
      <w:r w:rsidR="43A9AEE5" w:rsidRPr="6E2346AC">
        <w:rPr>
          <w:rFonts w:ascii="Cambria" w:eastAsia="Calibri" w:hAnsi="Cambria" w:cs="Times New Roman"/>
          <w:sz w:val="24"/>
          <w:szCs w:val="24"/>
        </w:rPr>
        <w:t xml:space="preserve">as well as </w:t>
      </w:r>
      <w:r w:rsidRPr="6E2346AC">
        <w:rPr>
          <w:rFonts w:ascii="Cambria" w:eastAsia="Calibri" w:hAnsi="Cambria" w:cs="Times New Roman"/>
          <w:sz w:val="24"/>
          <w:szCs w:val="24"/>
        </w:rPr>
        <w:t xml:space="preserve">on caregivers, the healthcare system, and </w:t>
      </w:r>
      <w:r w:rsidR="14E9456E" w:rsidRPr="6E2346AC">
        <w:rPr>
          <w:rFonts w:ascii="Cambria" w:eastAsia="Calibri" w:hAnsi="Cambria" w:cs="Times New Roman"/>
          <w:sz w:val="24"/>
          <w:szCs w:val="24"/>
        </w:rPr>
        <w:t xml:space="preserve">the wider </w:t>
      </w:r>
      <w:r w:rsidRPr="6E2346AC">
        <w:rPr>
          <w:rFonts w:ascii="Cambria" w:eastAsia="Calibri" w:hAnsi="Cambria" w:cs="Times New Roman"/>
          <w:sz w:val="24"/>
          <w:szCs w:val="24"/>
        </w:rPr>
        <w:t>society. Chronic pain significantly impacts the psychological stress levels of working adults, and the cost of pain‐related productivity loss can range from $299 to $335 billion based on results from a large‐scale survey using 2008 data in the US (Sakamoto et al., 2019). In the UK, the Health and Safety Executive report in 2015 estimated economic costs to the British economy due to pain-related stress at work were considerable, with £14.3 billion lost in 2013-2014 (</w:t>
      </w:r>
      <w:proofErr w:type="spellStart"/>
      <w:r w:rsidRPr="6E2346AC">
        <w:rPr>
          <w:rFonts w:ascii="Cambria" w:eastAsia="Calibri" w:hAnsi="Cambria" w:cs="Times New Roman"/>
          <w:sz w:val="24"/>
          <w:szCs w:val="24"/>
        </w:rPr>
        <w:t>Bhui</w:t>
      </w:r>
      <w:proofErr w:type="spellEnd"/>
      <w:r w:rsidRPr="6E2346AC">
        <w:rPr>
          <w:rFonts w:ascii="Cambria" w:eastAsia="Calibri" w:hAnsi="Cambria" w:cs="Times New Roman"/>
          <w:sz w:val="24"/>
          <w:szCs w:val="24"/>
        </w:rPr>
        <w:t xml:space="preserve"> et al. 2016). This makes the annual cost of pain greater than lifestyle diseases (such as heart disease, some cancers, </w:t>
      </w:r>
      <w:r w:rsidR="7179736C" w:rsidRPr="6E2346AC">
        <w:rPr>
          <w:rFonts w:ascii="Cambria" w:eastAsia="Calibri" w:hAnsi="Cambria" w:cs="Times New Roman"/>
          <w:sz w:val="24"/>
          <w:szCs w:val="24"/>
        </w:rPr>
        <w:t xml:space="preserve">and </w:t>
      </w:r>
      <w:r w:rsidRPr="6E2346AC">
        <w:rPr>
          <w:rFonts w:ascii="Cambria" w:eastAsia="Calibri" w:hAnsi="Cambria" w:cs="Times New Roman"/>
          <w:sz w:val="24"/>
          <w:szCs w:val="24"/>
        </w:rPr>
        <w:t>diabetes), which are currently considered to drive large economic losses (</w:t>
      </w:r>
      <w:proofErr w:type="spellStart"/>
      <w:r w:rsidRPr="6E2346AC">
        <w:rPr>
          <w:rFonts w:ascii="Cambria" w:eastAsia="Calibri" w:hAnsi="Cambria" w:cs="Times New Roman"/>
          <w:sz w:val="24"/>
          <w:szCs w:val="24"/>
        </w:rPr>
        <w:t>Bhui</w:t>
      </w:r>
      <w:proofErr w:type="spellEnd"/>
      <w:r w:rsidRPr="6E2346AC">
        <w:rPr>
          <w:rFonts w:ascii="Cambria" w:eastAsia="Calibri" w:hAnsi="Cambria" w:cs="Times New Roman"/>
          <w:sz w:val="24"/>
          <w:szCs w:val="24"/>
        </w:rPr>
        <w:t xml:space="preserve"> et al. 2016). Healthcare providers trying to treat chronic pain are impacted, finding the continued challenges (persisting pain, lack of resources, etc.) disheartening and frustrating over time, as well as feeling as if they cannot support their patients appropriately (Rice et al., 2018).</w:t>
      </w:r>
      <w:r>
        <w:t xml:space="preserve"> </w:t>
      </w:r>
      <w:r w:rsidRPr="6E2346AC">
        <w:rPr>
          <w:rFonts w:ascii="Cambria" w:eastAsia="Calibri" w:hAnsi="Cambria" w:cs="Times New Roman"/>
          <w:sz w:val="24"/>
          <w:szCs w:val="24"/>
        </w:rPr>
        <w:t>Overall, in the US, pain has been implicated as the main reason why individuals seek medical care (</w:t>
      </w:r>
      <w:proofErr w:type="spellStart"/>
      <w:r w:rsidRPr="6E2346AC">
        <w:rPr>
          <w:rFonts w:ascii="Cambria" w:eastAsia="Calibri" w:hAnsi="Cambria" w:cs="Times New Roman"/>
          <w:sz w:val="24"/>
          <w:szCs w:val="24"/>
        </w:rPr>
        <w:t>Sauver</w:t>
      </w:r>
      <w:proofErr w:type="spellEnd"/>
      <w:r w:rsidRPr="6E2346AC">
        <w:rPr>
          <w:rFonts w:ascii="Cambria" w:eastAsia="Calibri" w:hAnsi="Cambria" w:cs="Times New Roman"/>
          <w:sz w:val="24"/>
          <w:szCs w:val="24"/>
        </w:rPr>
        <w:t xml:space="preserve"> et al. 2013).</w:t>
      </w:r>
      <w:r>
        <w:t xml:space="preserve"> </w:t>
      </w:r>
      <w:r w:rsidRPr="6E2346AC">
        <w:rPr>
          <w:rFonts w:ascii="Cambria" w:eastAsia="Calibri" w:hAnsi="Cambria" w:cs="Times New Roman"/>
          <w:sz w:val="24"/>
          <w:szCs w:val="24"/>
        </w:rPr>
        <w:t>Based on a recent systematic review and meta-analysis of</w:t>
      </w:r>
      <w:r w:rsidR="2B373C83" w:rsidRPr="6E2346AC">
        <w:rPr>
          <w:rFonts w:ascii="Cambria" w:eastAsia="Calibri" w:hAnsi="Cambria" w:cs="Times New Roman"/>
          <w:sz w:val="24"/>
          <w:szCs w:val="24"/>
        </w:rPr>
        <w:t xml:space="preserve"> studies covering</w:t>
      </w:r>
      <w:r w:rsidRPr="6E2346AC">
        <w:rPr>
          <w:rFonts w:ascii="Cambria" w:eastAsia="Calibri" w:hAnsi="Cambria" w:cs="Times New Roman"/>
          <w:sz w:val="24"/>
          <w:szCs w:val="24"/>
        </w:rPr>
        <w:t xml:space="preserve"> America, Europe, and the Western Pacific, the average Global annual and indirect healthcare cost estimate for chronic pain due to low back pain ranged from €2.3–€2.6 billion for direct costs; and €0.24–$8.15 billion for indirect costs, respectively, with a hospitali</w:t>
      </w:r>
      <w:r w:rsidR="110B46A1" w:rsidRPr="6E2346AC">
        <w:rPr>
          <w:rFonts w:ascii="Cambria" w:eastAsia="Calibri" w:hAnsi="Cambria" w:cs="Times New Roman"/>
          <w:sz w:val="24"/>
          <w:szCs w:val="24"/>
        </w:rPr>
        <w:t>s</w:t>
      </w:r>
      <w:r w:rsidRPr="6E2346AC">
        <w:rPr>
          <w:rFonts w:ascii="Cambria" w:eastAsia="Calibri" w:hAnsi="Cambria" w:cs="Times New Roman"/>
          <w:sz w:val="24"/>
          <w:szCs w:val="24"/>
        </w:rPr>
        <w:t xml:space="preserve">ation rate </w:t>
      </w:r>
      <w:r w:rsidRPr="6E2346AC">
        <w:rPr>
          <w:rFonts w:ascii="Cambria" w:eastAsia="Calibri" w:hAnsi="Cambria" w:cs="Times New Roman"/>
          <w:sz w:val="24"/>
          <w:szCs w:val="24"/>
        </w:rPr>
        <w:lastRenderedPageBreak/>
        <w:t>due to chronic pain of 3.2% (</w:t>
      </w:r>
      <w:proofErr w:type="spellStart"/>
      <w:r w:rsidRPr="6E2346AC">
        <w:rPr>
          <w:rFonts w:ascii="Cambria" w:eastAsia="Calibri" w:hAnsi="Cambria" w:cs="Times New Roman"/>
          <w:sz w:val="24"/>
          <w:szCs w:val="24"/>
        </w:rPr>
        <w:t>Fatoye</w:t>
      </w:r>
      <w:proofErr w:type="spellEnd"/>
      <w:r w:rsidRPr="6E2346AC">
        <w:rPr>
          <w:rFonts w:ascii="Cambria" w:eastAsia="Calibri" w:hAnsi="Cambria" w:cs="Times New Roman"/>
          <w:sz w:val="24"/>
          <w:szCs w:val="24"/>
        </w:rPr>
        <w:t xml:space="preserve"> et al. 2023), highlighting a substantial and persisting healthcare burden.</w:t>
      </w:r>
    </w:p>
    <w:p w14:paraId="003887B7" w14:textId="19126610" w:rsidR="002D1216" w:rsidRPr="00CD2F5C" w:rsidRDefault="179D8B01" w:rsidP="002B0F75">
      <w:pPr>
        <w:spacing w:line="360" w:lineRule="auto"/>
        <w:rPr>
          <w:rFonts w:ascii="Cambria" w:eastAsia="Calibri" w:hAnsi="Cambria" w:cs="Times New Roman"/>
          <w:sz w:val="24"/>
          <w:szCs w:val="24"/>
        </w:rPr>
      </w:pPr>
      <w:r w:rsidRPr="6E2346AC">
        <w:rPr>
          <w:rFonts w:ascii="Cambria" w:eastAsia="Calibri" w:hAnsi="Cambria" w:cs="Times New Roman"/>
          <w:sz w:val="24"/>
          <w:szCs w:val="24"/>
        </w:rPr>
        <w:t>Although empirical evidence does support a biopsychosocial model when considering pain, in healthcare and clinical practice settings, psychosocial factors are often assigned secondary status and viewed largely as reactions to pain and not an important possible cause or contributor (Meints &amp; Edwards, 2018). However, for adults experiencing chronic pain, co-morbid physical and mental health-related chronic diseases</w:t>
      </w:r>
      <w:r w:rsidR="00C33651">
        <w:rPr>
          <w:rFonts w:ascii="Cambria" w:eastAsia="Calibri" w:hAnsi="Cambria" w:cs="Times New Roman"/>
          <w:sz w:val="24"/>
          <w:szCs w:val="24"/>
        </w:rPr>
        <w:t xml:space="preserve"> (e.g., </w:t>
      </w:r>
      <w:r w:rsidR="00C33651" w:rsidRPr="00C33651">
        <w:rPr>
          <w:rFonts w:ascii="Cambria" w:eastAsia="Calibri" w:hAnsi="Cambria" w:cs="Times New Roman"/>
          <w:sz w:val="24"/>
          <w:szCs w:val="24"/>
        </w:rPr>
        <w:t>chronic musculoskeletal pain and anxiety/depression</w:t>
      </w:r>
      <w:r w:rsidR="00C33651">
        <w:rPr>
          <w:rFonts w:ascii="Cambria" w:eastAsia="Calibri" w:hAnsi="Cambria" w:cs="Times New Roman"/>
          <w:sz w:val="24"/>
          <w:szCs w:val="24"/>
        </w:rPr>
        <w:t>)</w:t>
      </w:r>
      <w:r w:rsidRPr="6E2346AC">
        <w:rPr>
          <w:rFonts w:ascii="Cambria" w:eastAsia="Calibri" w:hAnsi="Cambria" w:cs="Times New Roman"/>
          <w:sz w:val="24"/>
          <w:szCs w:val="24"/>
        </w:rPr>
        <w:t xml:space="preserve"> are more prevalent compared to those without chronic pain (Barnett et al., 2012; Dominick et al., 2012; Lumley et al., 2024), with roughly 88% of adults with chronic pain having other co-occurring chronic diagnoses (Barnett et al., 2012; Brevik et al., 2006; Donaldson et al., 2009; Lumley et al., 2024). </w:t>
      </w:r>
      <w:r w:rsidR="75BC2189" w:rsidRPr="6E2346AC">
        <w:rPr>
          <w:rFonts w:ascii="Cambria" w:eastAsia="Calibri" w:hAnsi="Cambria" w:cs="Times New Roman"/>
          <w:sz w:val="24"/>
          <w:szCs w:val="24"/>
        </w:rPr>
        <w:t>For instance, i</w:t>
      </w:r>
      <w:r w:rsidRPr="6E2346AC">
        <w:rPr>
          <w:rFonts w:ascii="Cambria" w:eastAsia="Calibri" w:hAnsi="Cambria" w:cs="Times New Roman"/>
          <w:sz w:val="24"/>
          <w:szCs w:val="24"/>
        </w:rPr>
        <w:t>ndividuals experiencing anxiety related to non-chronic or acute pain, appear to have a greater chance of developing chronic pain, and have a worse prognosis for chronic pain outcomes and recovery (Boersma et al., 2006). Additionally, a population study found that patients had a higher chance of seeking help for chronic pain if they had also consulted their general care provider about nerves, anxiety, tension, or depression (52.2%) compared to those who had not discussed them previously</w:t>
      </w:r>
      <w:r w:rsidR="002622C6">
        <w:rPr>
          <w:rFonts w:ascii="Cambria" w:eastAsia="Calibri" w:hAnsi="Cambria" w:cs="Times New Roman"/>
          <w:sz w:val="24"/>
          <w:szCs w:val="24"/>
        </w:rPr>
        <w:t xml:space="preserve"> (</w:t>
      </w:r>
      <w:r w:rsidR="002622C6" w:rsidRPr="6E2346AC">
        <w:rPr>
          <w:rFonts w:ascii="Cambria" w:eastAsia="Calibri" w:hAnsi="Cambria" w:cs="Times New Roman"/>
          <w:sz w:val="24"/>
          <w:szCs w:val="24"/>
        </w:rPr>
        <w:t>38.0%</w:t>
      </w:r>
      <w:r w:rsidR="002622C6">
        <w:rPr>
          <w:rFonts w:ascii="Cambria" w:eastAsia="Calibri" w:hAnsi="Cambria" w:cs="Times New Roman"/>
          <w:sz w:val="24"/>
          <w:szCs w:val="24"/>
        </w:rPr>
        <w:t>)</w:t>
      </w:r>
      <w:r w:rsidRPr="6E2346AC">
        <w:rPr>
          <w:rFonts w:ascii="Cambria" w:eastAsia="Calibri" w:hAnsi="Cambria" w:cs="Times New Roman"/>
          <w:sz w:val="24"/>
          <w:szCs w:val="24"/>
        </w:rPr>
        <w:t xml:space="preserve"> (Macfarlane et al., 2015). The long‐term impacts of the hyperarousal commonly experienced in high stress situations and with anxiety are not fully understood when considering pain, although studies on depression and PTSD have examined how these specific mental health conditions are associated with increased chronic pain experiences (Morasco et al., 2013).</w:t>
      </w:r>
    </w:p>
    <w:p w14:paraId="13BB14C8"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b/>
          <w:bCs/>
          <w:sz w:val="24"/>
          <w:szCs w:val="24"/>
        </w:rPr>
        <w:t>Adverse Childhood Experiences (ACEs)</w:t>
      </w:r>
    </w:p>
    <w:p w14:paraId="0B18F0F6"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A further complexity that arises when considering pain and comorbid factors is the presence of early life adversity. ACEs are traumatic events that occur in childhood (prior to age 18), such as experiencing violence, abuse, neglect, witnessing violence, having a family member attempt suicide or die, and aspects of the home or community environment that can undermine their sense of safety and stability (CDC, 2022). ACEs inhibit optimal health and development by altering gene expression, brain function, immune system function, and even organ function. ACEs also compromise the development of healthy coping strategies, </w:t>
      </w:r>
      <w:r w:rsidRPr="00CD2F5C">
        <w:rPr>
          <w:rFonts w:ascii="Cambria" w:eastAsia="Calibri" w:hAnsi="Cambria" w:cs="Times New Roman"/>
          <w:sz w:val="24"/>
          <w:szCs w:val="24"/>
        </w:rPr>
        <w:lastRenderedPageBreak/>
        <w:t xml:space="preserve">which can affect health behaviours, physical and mental health, life opportunities, and morbidity (Merrick et al., 2019). </w:t>
      </w:r>
    </w:p>
    <w:p w14:paraId="56E0C6F8"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Early-life adversity lays a critical foundation for health outcomes later in life, with evidence highlighting higher rates of chronic pain in adolescents who have reported one or more ACEs (Groenewald et al., 2020). By adulthood, ACEs can result in significant economic costs in the form of lost employment productivity and health care spending (Monnat &amp; Chandler, 2015). ACEs are also associated with reduced adaptability and increased social isolation, reduced self-esteem, and increased rates of dissociation, anger, and hostility (NCSL, 2021; </w:t>
      </w:r>
      <w:proofErr w:type="spellStart"/>
      <w:r w:rsidRPr="00CD2F5C">
        <w:rPr>
          <w:rFonts w:ascii="Cambria" w:eastAsia="Calibri" w:hAnsi="Cambria" w:cs="Times New Roman"/>
          <w:sz w:val="24"/>
          <w:szCs w:val="24"/>
        </w:rPr>
        <w:t>Tzouvara</w:t>
      </w:r>
      <w:proofErr w:type="spellEnd"/>
      <w:r w:rsidRPr="00CD2F5C">
        <w:rPr>
          <w:rFonts w:ascii="Cambria" w:eastAsia="Calibri" w:hAnsi="Cambria" w:cs="Times New Roman"/>
          <w:sz w:val="24"/>
          <w:szCs w:val="24"/>
        </w:rPr>
        <w:t xml:space="preserve"> et al., 2023).</w:t>
      </w:r>
    </w:p>
    <w:p w14:paraId="083DED92" w14:textId="77777777" w:rsidR="002D1216" w:rsidRPr="00CD2F5C" w:rsidRDefault="002D1216" w:rsidP="002B0F75">
      <w:pPr>
        <w:spacing w:line="360" w:lineRule="auto"/>
        <w:rPr>
          <w:rFonts w:ascii="Cambria" w:eastAsia="Calibri" w:hAnsi="Cambria" w:cs="Times New Roman"/>
          <w:sz w:val="24"/>
          <w:szCs w:val="24"/>
          <w:highlight w:val="yellow"/>
        </w:rPr>
      </w:pPr>
      <w:r w:rsidRPr="00CD2F5C">
        <w:rPr>
          <w:rFonts w:ascii="Cambria" w:eastAsia="Calibri" w:hAnsi="Cambria" w:cs="Times New Roman"/>
          <w:sz w:val="24"/>
          <w:szCs w:val="24"/>
        </w:rPr>
        <w:t xml:space="preserve">There remains a lack of understanding of the complex pathways linking ACEs to poor adult health outcomes, and exactly how those pathways may vary across different adverse adult outcomes such as chronic pain (Monnat &amp; Chandler 2015). When seeking to understand the factors that impact chronic pain experiences in adulthood, both ACEs and mental health experience (and their interrelation) need to be considered. </w:t>
      </w:r>
    </w:p>
    <w:p w14:paraId="4ACFBF0C"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b/>
          <w:bCs/>
          <w:sz w:val="24"/>
          <w:szCs w:val="24"/>
        </w:rPr>
        <w:t xml:space="preserve">Anxiety </w:t>
      </w:r>
    </w:p>
    <w:p w14:paraId="1EE1145D" w14:textId="2D9BA8F7" w:rsidR="002D1216" w:rsidRPr="00CD2F5C" w:rsidRDefault="179D8B01" w:rsidP="002B0F75">
      <w:pPr>
        <w:spacing w:line="360" w:lineRule="auto"/>
        <w:rPr>
          <w:rFonts w:ascii="Cambria" w:eastAsia="Calibri" w:hAnsi="Cambria" w:cs="Times New Roman"/>
          <w:sz w:val="24"/>
          <w:szCs w:val="24"/>
        </w:rPr>
      </w:pPr>
      <w:r w:rsidRPr="5F4A1D07">
        <w:rPr>
          <w:rFonts w:ascii="Cambria" w:eastAsia="Calibri" w:hAnsi="Cambria" w:cs="Times New Roman"/>
          <w:sz w:val="24"/>
          <w:szCs w:val="24"/>
        </w:rPr>
        <w:t xml:space="preserve">Poor mental health is a comorbidity associated with ACE history and chronic pain, and although depressive disorders have been studied extensively in association with these, anxiety has not, perhaps partly due to </w:t>
      </w:r>
      <w:r w:rsidR="1C4EE2D2" w:rsidRPr="5F4A1D07">
        <w:rPr>
          <w:rFonts w:ascii="Cambria" w:eastAsia="Calibri" w:hAnsi="Cambria" w:cs="Times New Roman"/>
          <w:sz w:val="24"/>
          <w:szCs w:val="24"/>
        </w:rPr>
        <w:t xml:space="preserve">conceptual </w:t>
      </w:r>
      <w:r w:rsidRPr="5F4A1D07">
        <w:rPr>
          <w:rFonts w:ascii="Cambria" w:eastAsia="Calibri" w:hAnsi="Cambria" w:cs="Times New Roman"/>
          <w:sz w:val="24"/>
          <w:szCs w:val="24"/>
        </w:rPr>
        <w:t xml:space="preserve">complexities. The term </w:t>
      </w:r>
      <w:r w:rsidRPr="5F4A1D07">
        <w:rPr>
          <w:rFonts w:ascii="Cambria" w:eastAsia="Calibri" w:hAnsi="Cambria" w:cs="Times New Roman"/>
          <w:i/>
          <w:iCs/>
          <w:sz w:val="24"/>
          <w:szCs w:val="24"/>
        </w:rPr>
        <w:t>anxiety</w:t>
      </w:r>
      <w:r w:rsidRPr="5F4A1D07">
        <w:rPr>
          <w:rFonts w:ascii="Cambria" w:eastAsia="Calibri" w:hAnsi="Cambria" w:cs="Times New Roman"/>
          <w:sz w:val="24"/>
          <w:szCs w:val="24"/>
        </w:rPr>
        <w:t xml:space="preserve"> has covered a variety of meanings and interpretations over time. Definitions range from the anticipation of a future threat to the emotional response to a real or perceived imminent threat (</w:t>
      </w:r>
      <w:proofErr w:type="spellStart"/>
      <w:r w:rsidRPr="5F4A1D07">
        <w:rPr>
          <w:rFonts w:ascii="Cambria" w:eastAsia="Calibri" w:hAnsi="Cambria" w:cs="Times New Roman"/>
          <w:sz w:val="24"/>
          <w:szCs w:val="24"/>
        </w:rPr>
        <w:t>Crocq</w:t>
      </w:r>
      <w:proofErr w:type="spellEnd"/>
      <w:r w:rsidRPr="5F4A1D07">
        <w:rPr>
          <w:rFonts w:ascii="Cambria" w:eastAsia="Calibri" w:hAnsi="Cambria" w:cs="Times New Roman"/>
          <w:sz w:val="24"/>
          <w:szCs w:val="24"/>
        </w:rPr>
        <w:t>, 2015). The DSM‐5 adds additional nuance by focusing on the cognitive features of anxiety as apprehensive expectation (</w:t>
      </w:r>
      <w:proofErr w:type="spellStart"/>
      <w:r w:rsidRPr="5F4A1D07">
        <w:rPr>
          <w:rFonts w:ascii="Cambria" w:eastAsia="Calibri" w:hAnsi="Cambria" w:cs="Times New Roman"/>
          <w:sz w:val="24"/>
          <w:szCs w:val="24"/>
        </w:rPr>
        <w:t>Crocq</w:t>
      </w:r>
      <w:proofErr w:type="spellEnd"/>
      <w:r w:rsidRPr="5F4A1D07">
        <w:rPr>
          <w:rFonts w:ascii="Cambria" w:eastAsia="Calibri" w:hAnsi="Cambria" w:cs="Times New Roman"/>
          <w:sz w:val="24"/>
          <w:szCs w:val="24"/>
        </w:rPr>
        <w:t xml:space="preserve">, 2015). Although anxiety </w:t>
      </w:r>
      <w:r w:rsidR="779A2C63" w:rsidRPr="5F4A1D07">
        <w:rPr>
          <w:rFonts w:ascii="Cambria" w:eastAsia="Calibri" w:hAnsi="Cambria" w:cs="Times New Roman"/>
          <w:sz w:val="24"/>
          <w:szCs w:val="24"/>
        </w:rPr>
        <w:t>can be</w:t>
      </w:r>
      <w:r w:rsidRPr="5F4A1D07">
        <w:rPr>
          <w:rFonts w:ascii="Cambria" w:eastAsia="Calibri" w:hAnsi="Cambria" w:cs="Times New Roman"/>
          <w:sz w:val="24"/>
          <w:szCs w:val="24"/>
        </w:rPr>
        <w:t xml:space="preserve"> considered to be biologically adaptive, in that it promotes survival by inciting people to avoid danger, a discrepancy exists between mild, adaptive anxiety in everyday life and distressing pathological anxiety requiring treatment or intervention (Robinson et al., 2013). This difference between adaptive and pathological anxiety is typically determined by clinical judgement and/or professional assessment. Pathological anxiety conditions include generalised anxiety, phobic</w:t>
      </w:r>
      <w:r w:rsidR="6683A719" w:rsidRPr="5F4A1D07">
        <w:rPr>
          <w:rFonts w:ascii="Cambria" w:eastAsia="Calibri" w:hAnsi="Cambria" w:cs="Times New Roman"/>
          <w:sz w:val="24"/>
          <w:szCs w:val="24"/>
        </w:rPr>
        <w:t xml:space="preserve"> anxiety</w:t>
      </w:r>
      <w:r w:rsidRPr="5F4A1D07">
        <w:rPr>
          <w:rFonts w:ascii="Cambria" w:eastAsia="Calibri" w:hAnsi="Cambria" w:cs="Times New Roman"/>
          <w:sz w:val="24"/>
          <w:szCs w:val="24"/>
        </w:rPr>
        <w:t>, obsessive-compulsive</w:t>
      </w:r>
      <w:r w:rsidR="37877966" w:rsidRPr="5F4A1D07">
        <w:rPr>
          <w:rFonts w:ascii="Cambria" w:eastAsia="Calibri" w:hAnsi="Cambria" w:cs="Times New Roman"/>
          <w:sz w:val="24"/>
          <w:szCs w:val="24"/>
        </w:rPr>
        <w:t xml:space="preserve"> disorder</w:t>
      </w:r>
      <w:r w:rsidRPr="5F4A1D07">
        <w:rPr>
          <w:rFonts w:ascii="Cambria" w:eastAsia="Calibri" w:hAnsi="Cambria" w:cs="Times New Roman"/>
          <w:sz w:val="24"/>
          <w:szCs w:val="24"/>
        </w:rPr>
        <w:t xml:space="preserve">, and post-traumatic stress disorder (PTSD) (World Health Organization, 2019). PTSD, as well as </w:t>
      </w:r>
      <w:r w:rsidRPr="5F4A1D07">
        <w:rPr>
          <w:rFonts w:ascii="Cambria" w:eastAsia="Calibri" w:hAnsi="Cambria" w:cs="Times New Roman"/>
          <w:sz w:val="24"/>
          <w:szCs w:val="24"/>
        </w:rPr>
        <w:lastRenderedPageBreak/>
        <w:t>other anxiety disorders, have been associated with childhood traumatic events (Kennedy &amp; Niedzwiedz, 2021), but the biological mechanisms underpinning an individual’s risk for these disorders remain unclear.</w:t>
      </w:r>
    </w:p>
    <w:p w14:paraId="3BD707EE" w14:textId="79E48053" w:rsidR="002D1216" w:rsidRPr="00CD2F5C" w:rsidRDefault="0BE57C6C" w:rsidP="002B0F75">
      <w:pPr>
        <w:spacing w:line="360" w:lineRule="auto"/>
        <w:rPr>
          <w:rFonts w:ascii="Cambria" w:eastAsia="Calibri" w:hAnsi="Cambria" w:cs="Times New Roman"/>
          <w:sz w:val="24"/>
          <w:szCs w:val="24"/>
        </w:rPr>
      </w:pPr>
      <w:r w:rsidRPr="18832B83">
        <w:rPr>
          <w:rFonts w:ascii="Cambria" w:eastAsia="Calibri" w:hAnsi="Cambria" w:cs="Times New Roman"/>
          <w:sz w:val="24"/>
          <w:szCs w:val="24"/>
        </w:rPr>
        <w:t xml:space="preserve">During anxious and tense experiences, the brain is in a heightened state of stress, and this can have a negative impact over time if prolonged or frequent (Bremner, 2006). Existing research has focused on behaviour, emotional development, and mental, and physical health after stress (Schneiderman et al., 2005; Smith &amp; Pollak, 2020), but research addressing a direct link between anxiety and the experience of chronic pain is limited. </w:t>
      </w:r>
      <w:bookmarkStart w:id="12" w:name="_Hlk180840415"/>
      <w:r w:rsidR="4E1A96BF" w:rsidRPr="18832B83">
        <w:rPr>
          <w:rFonts w:ascii="Cambria" w:eastAsia="Calibri" w:hAnsi="Cambria" w:cs="Times New Roman"/>
          <w:sz w:val="24"/>
          <w:szCs w:val="24"/>
        </w:rPr>
        <w:t>While depression has had a plethora of literature to date, including the last decade in particular examining associations with higher inflammation</w:t>
      </w:r>
      <w:r w:rsidR="00265F53">
        <w:rPr>
          <w:rFonts w:ascii="Cambria" w:eastAsia="Calibri" w:hAnsi="Cambria" w:cs="Times New Roman"/>
          <w:sz w:val="24"/>
          <w:szCs w:val="24"/>
        </w:rPr>
        <w:t xml:space="preserve"> (</w:t>
      </w:r>
      <w:r w:rsidR="00265F53" w:rsidRPr="00265F53">
        <w:rPr>
          <w:rFonts w:ascii="Cambria" w:eastAsia="Calibri" w:hAnsi="Cambria" w:cs="Times New Roman"/>
          <w:sz w:val="24"/>
          <w:szCs w:val="24"/>
        </w:rPr>
        <w:t>Dooley et al., 2018; Remes et al., 2021; Li &amp; Xiang, 2023</w:t>
      </w:r>
      <w:r w:rsidR="00265F53">
        <w:rPr>
          <w:rFonts w:ascii="Cambria" w:eastAsia="Calibri" w:hAnsi="Cambria" w:cs="Times New Roman"/>
          <w:sz w:val="24"/>
          <w:szCs w:val="24"/>
        </w:rPr>
        <w:t>)</w:t>
      </w:r>
      <w:r w:rsidR="4E1A96BF" w:rsidRPr="18832B83">
        <w:rPr>
          <w:rFonts w:ascii="Cambria" w:eastAsia="Calibri" w:hAnsi="Cambria" w:cs="Times New Roman"/>
          <w:sz w:val="24"/>
          <w:szCs w:val="24"/>
        </w:rPr>
        <w:t xml:space="preserve">, anxiety was rarely examined as a separate entity despite the unique and distinct differences between these conditions. Additionally, patients who experience chronic pain may struggle with functioning in daily life and with keeping up with social activity, which is more commonly attributed to mental health issues like anxiety versus the daily experience of being in pain, making </w:t>
      </w:r>
      <w:r w:rsidR="00946CAF">
        <w:rPr>
          <w:rFonts w:ascii="Cambria" w:eastAsia="Calibri" w:hAnsi="Cambria" w:cs="Times New Roman"/>
          <w:sz w:val="24"/>
          <w:szCs w:val="24"/>
        </w:rPr>
        <w:t>anxiety</w:t>
      </w:r>
      <w:r w:rsidR="4E1A96BF" w:rsidRPr="18832B83">
        <w:rPr>
          <w:rFonts w:ascii="Cambria" w:eastAsia="Calibri" w:hAnsi="Cambria" w:cs="Times New Roman"/>
          <w:sz w:val="24"/>
          <w:szCs w:val="24"/>
        </w:rPr>
        <w:t xml:space="preserve"> of higher interest to examine independently</w:t>
      </w:r>
      <w:r w:rsidR="00946CAF">
        <w:rPr>
          <w:rFonts w:ascii="Cambria" w:eastAsia="Calibri" w:hAnsi="Cambria" w:cs="Times New Roman"/>
          <w:sz w:val="24"/>
          <w:szCs w:val="24"/>
        </w:rPr>
        <w:t xml:space="preserve"> from depression</w:t>
      </w:r>
      <w:r w:rsidR="4E1A96BF" w:rsidRPr="18832B83">
        <w:rPr>
          <w:rFonts w:ascii="Cambria" w:eastAsia="Calibri" w:hAnsi="Cambria" w:cs="Times New Roman"/>
          <w:sz w:val="24"/>
          <w:szCs w:val="24"/>
        </w:rPr>
        <w:t xml:space="preserve">. </w:t>
      </w:r>
      <w:bookmarkEnd w:id="12"/>
    </w:p>
    <w:p w14:paraId="43580EA0" w14:textId="10A4D69B" w:rsidR="002D1216" w:rsidRPr="00CD2F5C" w:rsidRDefault="179D8B01" w:rsidP="002B0F75">
      <w:pPr>
        <w:spacing w:line="360" w:lineRule="auto"/>
        <w:rPr>
          <w:rFonts w:ascii="Cambria" w:eastAsia="Calibri" w:hAnsi="Cambria" w:cs="Times New Roman"/>
          <w:sz w:val="24"/>
          <w:szCs w:val="24"/>
        </w:rPr>
      </w:pPr>
      <w:r w:rsidRPr="1E06730D">
        <w:rPr>
          <w:rFonts w:ascii="Cambria" w:eastAsia="Calibri" w:hAnsi="Cambria" w:cs="Times New Roman"/>
          <w:sz w:val="24"/>
          <w:szCs w:val="24"/>
        </w:rPr>
        <w:t>An additional difficulty when considering the societal and public health implications of ACEs, anxiety, and pain is that chronic pain experiences are multifaceted in terms of psychosocial impacts, which should be considered carefully (Sakamoto et al., 2019). The experience of living with chronic pain requires considerable emotional resilience and tends to deplete a person’s emotional reserve, which impacts both the person experiencing pain and those around them</w:t>
      </w:r>
      <w:r w:rsidR="59A97895" w:rsidRPr="1E06730D">
        <w:rPr>
          <w:rFonts w:ascii="Cambria" w:eastAsia="Calibri" w:hAnsi="Cambria" w:cs="Times New Roman"/>
          <w:sz w:val="24"/>
          <w:szCs w:val="24"/>
        </w:rPr>
        <w:t>,</w:t>
      </w:r>
      <w:r w:rsidRPr="1E06730D">
        <w:rPr>
          <w:rFonts w:ascii="Cambria" w:eastAsia="Calibri" w:hAnsi="Cambria" w:cs="Times New Roman"/>
          <w:sz w:val="24"/>
          <w:szCs w:val="24"/>
        </w:rPr>
        <w:t xml:space="preserve"> such as a spouse and/or caregiver (Turk et al., 2008). Patients typically report feeling their lives are stuck or stagnant as a direct result of chronic pain, which corresponds with data showing that it is pain </w:t>
      </w:r>
      <w:r w:rsidRPr="1E06730D">
        <w:rPr>
          <w:rFonts w:ascii="Cambria" w:eastAsia="Calibri" w:hAnsi="Cambria" w:cs="Times New Roman"/>
          <w:i/>
          <w:iCs/>
          <w:sz w:val="24"/>
          <w:szCs w:val="24"/>
        </w:rPr>
        <w:t xml:space="preserve">interference </w:t>
      </w:r>
      <w:r w:rsidRPr="1E06730D">
        <w:rPr>
          <w:rFonts w:ascii="Cambria" w:eastAsia="Calibri" w:hAnsi="Cambria" w:cs="Times New Roman"/>
          <w:sz w:val="24"/>
          <w:szCs w:val="24"/>
        </w:rPr>
        <w:t xml:space="preserve">(the extent to which pain interferes with daily life) rather than pain </w:t>
      </w:r>
      <w:r w:rsidRPr="1E06730D">
        <w:rPr>
          <w:rFonts w:ascii="Cambria" w:eastAsia="Calibri" w:hAnsi="Cambria" w:cs="Times New Roman"/>
          <w:i/>
          <w:iCs/>
          <w:sz w:val="24"/>
          <w:szCs w:val="24"/>
        </w:rPr>
        <w:t>intensity</w:t>
      </w:r>
      <w:r w:rsidRPr="1E06730D">
        <w:rPr>
          <w:rFonts w:ascii="Cambria" w:eastAsia="Calibri" w:hAnsi="Cambria" w:cs="Times New Roman"/>
          <w:sz w:val="24"/>
          <w:szCs w:val="24"/>
        </w:rPr>
        <w:t xml:space="preserve">, that predicts an individual’s level of functioning (Gentili et al., 2019). </w:t>
      </w:r>
    </w:p>
    <w:p w14:paraId="2435EFCF" w14:textId="0C21DF62" w:rsidR="002D1216" w:rsidRPr="00CD2F5C" w:rsidRDefault="179D8B01" w:rsidP="002B0F75">
      <w:pPr>
        <w:spacing w:line="360" w:lineRule="auto"/>
        <w:rPr>
          <w:rFonts w:ascii="Cambria" w:eastAsia="Calibri" w:hAnsi="Cambria" w:cs="Times New Roman"/>
          <w:sz w:val="24"/>
          <w:szCs w:val="24"/>
        </w:rPr>
      </w:pPr>
      <w:r w:rsidRPr="13B33B62">
        <w:rPr>
          <w:rFonts w:ascii="Cambria" w:eastAsia="Calibri" w:hAnsi="Cambria" w:cs="Times New Roman"/>
          <w:sz w:val="24"/>
          <w:szCs w:val="24"/>
        </w:rPr>
        <w:t xml:space="preserve">Looking more </w:t>
      </w:r>
      <w:r w:rsidR="5450923C" w:rsidRPr="13B33B62">
        <w:rPr>
          <w:rFonts w:ascii="Cambria" w:eastAsia="Calibri" w:hAnsi="Cambria" w:cs="Times New Roman"/>
          <w:sz w:val="24"/>
          <w:szCs w:val="24"/>
        </w:rPr>
        <w:t xml:space="preserve">specifically </w:t>
      </w:r>
      <w:r w:rsidRPr="13B33B62">
        <w:rPr>
          <w:rFonts w:ascii="Cambria" w:eastAsia="Calibri" w:hAnsi="Cambria" w:cs="Times New Roman"/>
          <w:sz w:val="24"/>
          <w:szCs w:val="24"/>
        </w:rPr>
        <w:t xml:space="preserve">at pain-related behaviour, a recent study examining the source of guarding behaviour showed that anxiety, not pain, directly predicted guarding activity. Guarding is defined as behaviour intended to prevent or alleviate pain, and includes </w:t>
      </w:r>
      <w:r w:rsidRPr="13B33B62">
        <w:rPr>
          <w:rFonts w:ascii="Cambria" w:eastAsia="Calibri" w:hAnsi="Cambria" w:cs="Times New Roman"/>
          <w:sz w:val="24"/>
          <w:szCs w:val="24"/>
        </w:rPr>
        <w:lastRenderedPageBreak/>
        <w:t>stiffness, hesitation, and bracing. Pain only predicted guarding indirectly, mediated by anxiety, which serves as an important confirmation of parts of the fear and avoidance model (</w:t>
      </w:r>
      <w:proofErr w:type="spellStart"/>
      <w:r w:rsidRPr="13B33B62">
        <w:rPr>
          <w:rFonts w:ascii="Cambria" w:eastAsia="Calibri" w:hAnsi="Cambria" w:cs="Times New Roman"/>
          <w:sz w:val="24"/>
          <w:szCs w:val="24"/>
        </w:rPr>
        <w:t>OlugbadeI</w:t>
      </w:r>
      <w:proofErr w:type="spellEnd"/>
      <w:r w:rsidRPr="13B33B62">
        <w:rPr>
          <w:rFonts w:ascii="Cambria" w:eastAsia="Calibri" w:hAnsi="Cambria" w:cs="Times New Roman"/>
          <w:sz w:val="24"/>
          <w:szCs w:val="24"/>
        </w:rPr>
        <w:t xml:space="preserve"> et al., 2019; </w:t>
      </w:r>
      <w:proofErr w:type="spellStart"/>
      <w:r w:rsidRPr="13B33B62">
        <w:rPr>
          <w:rFonts w:ascii="Cambria" w:eastAsia="Calibri" w:hAnsi="Cambria" w:cs="Times New Roman"/>
          <w:sz w:val="24"/>
          <w:szCs w:val="24"/>
        </w:rPr>
        <w:t>Vlaeyen</w:t>
      </w:r>
      <w:proofErr w:type="spellEnd"/>
      <w:r w:rsidRPr="13B33B62">
        <w:rPr>
          <w:rFonts w:ascii="Cambria" w:eastAsia="Calibri" w:hAnsi="Cambria" w:cs="Times New Roman"/>
          <w:sz w:val="24"/>
          <w:szCs w:val="24"/>
        </w:rPr>
        <w:t xml:space="preserve"> &amp; Linton, 2012), in which anxiety and fear that is pain-related is a significant predictor of avoidant behaviour (van der Hulst et al., 2010). The results of this study indicate that physical, pain‐related guarding should potentially be addressed in people with anxiety before any initial attempts at pain reduction. In other words, a closer look at addressing the </w:t>
      </w:r>
      <w:bookmarkStart w:id="13" w:name="_Hlk168503636"/>
      <w:r w:rsidRPr="13B33B62">
        <w:rPr>
          <w:rFonts w:ascii="Cambria" w:eastAsia="Calibri" w:hAnsi="Cambria" w:cs="Times New Roman"/>
          <w:sz w:val="24"/>
          <w:szCs w:val="24"/>
        </w:rPr>
        <w:t xml:space="preserve">neurophysiological aspects of anxiety </w:t>
      </w:r>
      <w:bookmarkEnd w:id="13"/>
      <w:r w:rsidRPr="13B33B62">
        <w:rPr>
          <w:rFonts w:ascii="Cambria" w:eastAsia="Calibri" w:hAnsi="Cambria" w:cs="Times New Roman"/>
          <w:sz w:val="24"/>
          <w:szCs w:val="24"/>
        </w:rPr>
        <w:t>(such as muscle guarding and tensing behaviour) may be key before directly addressing pain.</w:t>
      </w:r>
    </w:p>
    <w:p w14:paraId="443DB051" w14:textId="52F1FA7D" w:rsidR="002D1216" w:rsidRPr="00CD2F5C" w:rsidRDefault="179D8B01" w:rsidP="002B0F75">
      <w:pPr>
        <w:spacing w:line="360" w:lineRule="auto"/>
        <w:rPr>
          <w:rFonts w:ascii="Cambria" w:eastAsia="Calibri" w:hAnsi="Cambria" w:cs="Times New Roman"/>
          <w:sz w:val="24"/>
          <w:szCs w:val="24"/>
        </w:rPr>
      </w:pPr>
      <w:r w:rsidRPr="1E06730D">
        <w:rPr>
          <w:rFonts w:ascii="Cambria" w:eastAsia="Calibri" w:hAnsi="Cambria" w:cs="Times New Roman"/>
          <w:sz w:val="24"/>
          <w:szCs w:val="24"/>
        </w:rPr>
        <w:t>Neuroscience research has examined how pain is typically described as an uncomfortable sensory or emotional experience associated with actual or even potential tissue damage (</w:t>
      </w:r>
      <w:proofErr w:type="spellStart"/>
      <w:r w:rsidRPr="1E06730D">
        <w:rPr>
          <w:rFonts w:ascii="Cambria" w:eastAsia="Calibri" w:hAnsi="Cambria" w:cs="Times New Roman"/>
          <w:sz w:val="24"/>
          <w:szCs w:val="24"/>
        </w:rPr>
        <w:t>Treede</w:t>
      </w:r>
      <w:proofErr w:type="spellEnd"/>
      <w:r w:rsidRPr="1E06730D">
        <w:rPr>
          <w:rFonts w:ascii="Cambria" w:eastAsia="Calibri" w:hAnsi="Cambria" w:cs="Times New Roman"/>
          <w:sz w:val="24"/>
          <w:szCs w:val="24"/>
        </w:rPr>
        <w:t>, 2018)</w:t>
      </w:r>
      <w:r w:rsidR="7552C843" w:rsidRPr="1E06730D">
        <w:rPr>
          <w:rFonts w:ascii="Cambria" w:eastAsia="Calibri" w:hAnsi="Cambria" w:cs="Times New Roman"/>
          <w:sz w:val="24"/>
          <w:szCs w:val="24"/>
        </w:rPr>
        <w:t>. T</w:t>
      </w:r>
      <w:r w:rsidRPr="1E06730D">
        <w:rPr>
          <w:rFonts w:ascii="Cambria" w:eastAsia="Calibri" w:hAnsi="Cambria" w:cs="Times New Roman"/>
          <w:sz w:val="24"/>
          <w:szCs w:val="24"/>
        </w:rPr>
        <w:t>he “feeling” of pain may indeed be more of a subjective perceptive experience involving cognitive processing rather than being a mainly sensory phenomenon (Khera &amp; Rangasamy 2021). Although the working memory encoding process for pain has been implicated in several studies, the underlying neural mechanisms of experiencing pain remain unclear (Tseng et al., 2017), warranting further neurological exploration. Tseng et al. (2017) used functional MRI (fMRI) in heat-based pain stimulation delayed-discrimination tasks which assess brain regions involved in this working memory encoding processes for painful versus nonpainful stimuli. The results indicated that the brain region activated in the encoding of pain information was the medial thalamus, as well as functional connectivity amongst the thalamus and medial prefrontal cortex. The fMRI results showed both direct and indirect relationships with a participants’ self-reported trait anxiety and level of state anxiety (i.e., more anxious participants had lower error rates and faster reaction times). This indicated that the encoding process of pain did not appear to be impacted by perceived task difficulty, nor did participants’ attention to pain influence their task performance. The findings also suggested that the underlying mechanisms responsible for the encoding of noxious or harmful stimuli are different from those encoding innocuous or harmless stimuli, and that potentially these mechanisms are rather shaped by an individual’s anxiety levels (Tseng et al., 2017). T</w:t>
      </w:r>
      <w:r w:rsidR="066BD6A5" w:rsidRPr="1E06730D">
        <w:rPr>
          <w:rFonts w:ascii="Cambria" w:eastAsia="Calibri" w:hAnsi="Cambria" w:cs="Times New Roman"/>
          <w:sz w:val="24"/>
          <w:szCs w:val="24"/>
        </w:rPr>
        <w:t>he need for more</w:t>
      </w:r>
      <w:r w:rsidRPr="1E06730D">
        <w:rPr>
          <w:rFonts w:ascii="Cambria" w:eastAsia="Calibri" w:hAnsi="Cambria" w:cs="Times New Roman"/>
          <w:sz w:val="24"/>
          <w:szCs w:val="24"/>
        </w:rPr>
        <w:t xml:space="preserve"> clarity around these underlying mechanisms supported our interest in examining the neurophysiological aspects of anxiety and how it may impact pain experience. </w:t>
      </w:r>
    </w:p>
    <w:p w14:paraId="0DA1DE48"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b/>
          <w:bCs/>
          <w:sz w:val="24"/>
          <w:szCs w:val="24"/>
        </w:rPr>
        <w:lastRenderedPageBreak/>
        <w:t xml:space="preserve">Inflammation </w:t>
      </w:r>
    </w:p>
    <w:p w14:paraId="15D9353E" w14:textId="3492543D" w:rsidR="002D1216" w:rsidRPr="00CD2F5C" w:rsidRDefault="002D1216" w:rsidP="002B0F75">
      <w:pPr>
        <w:spacing w:line="360" w:lineRule="auto"/>
        <w:rPr>
          <w:rFonts w:ascii="Cambria" w:eastAsia="Calibri" w:hAnsi="Cambria" w:cs="Times New Roman"/>
          <w:sz w:val="24"/>
          <w:szCs w:val="24"/>
        </w:rPr>
      </w:pPr>
      <w:r w:rsidRPr="6E2346AC">
        <w:rPr>
          <w:rFonts w:ascii="Cambria" w:eastAsia="Calibri" w:hAnsi="Cambria" w:cs="Times New Roman"/>
          <w:sz w:val="24"/>
          <w:szCs w:val="24"/>
        </w:rPr>
        <w:t xml:space="preserve">One possible underlying biological mechanism </w:t>
      </w:r>
      <w:r w:rsidR="6E377657" w:rsidRPr="6E2346AC">
        <w:rPr>
          <w:rFonts w:ascii="Cambria" w:eastAsia="Calibri" w:hAnsi="Cambria" w:cs="Times New Roman"/>
          <w:sz w:val="24"/>
          <w:szCs w:val="24"/>
        </w:rPr>
        <w:t xml:space="preserve">of </w:t>
      </w:r>
      <w:r w:rsidRPr="6E2346AC">
        <w:rPr>
          <w:rFonts w:ascii="Cambria" w:eastAsia="Calibri" w:hAnsi="Cambria" w:cs="Times New Roman"/>
          <w:sz w:val="24"/>
          <w:szCs w:val="24"/>
        </w:rPr>
        <w:t>ACE history, anxiety, and chronic pain experience is inflammation. In a study that examined the potential brain regions involved with experiencing pain, depression, and anxiety, it was concluded that anxiety specifically could induce chronic pain by activating astrocytes in the anterior cingulate cortex (ACC) region. The mechanism proposed was that anxiety potentially increases the central sensitivity of pain by regulating inflammatory factors (such as IL‐1, IL‐6, IL‐10, TNF‐α, and noradrenaline) that contribute to experiencing a feeling of pain (</w:t>
      </w:r>
      <w:bookmarkStart w:id="14" w:name="_Hlk78713573"/>
      <w:r w:rsidRPr="6E2346AC">
        <w:rPr>
          <w:rFonts w:ascii="Cambria" w:eastAsia="Calibri" w:hAnsi="Cambria" w:cs="Times New Roman"/>
          <w:sz w:val="24"/>
          <w:szCs w:val="24"/>
        </w:rPr>
        <w:t>Gu et al., 2019</w:t>
      </w:r>
      <w:bookmarkEnd w:id="14"/>
      <w:r w:rsidRPr="6E2346AC">
        <w:rPr>
          <w:rFonts w:ascii="Cambria" w:eastAsia="Calibri" w:hAnsi="Cambria" w:cs="Times New Roman"/>
          <w:sz w:val="24"/>
          <w:szCs w:val="24"/>
        </w:rPr>
        <w:t xml:space="preserve">). Inflammatory markers have previously been implicated in studies looking at depression, PTSD, and pain experience, which has shown that central nervous system inflammatory activation is possibly involved in the regulation of the serotonin transporter gene (Du et al., 2019). Although Du et al.’s (2019) study is on mice, the results give insight into the underlying mechanisms of how a gene expression factor may be involved with the activation of proinflammatory cytokines.  </w:t>
      </w:r>
    </w:p>
    <w:p w14:paraId="29901926" w14:textId="0C256F16" w:rsidR="00684AAB"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In a human study examining similar underlying neural mechanisms in American adults, empirical evidence suggested that early life adversity alters normative development of the amygdala (Kalia et al., 2020). Results indicated that maltreatment, as a type of ACE, significantly predicted a higher sensitivity to environmental threats which leads to increased levels of anxiety. For individuals with experience of maltreatment, neuroimaging research has demonstrated how hypervigilance to threatening stimuli may be a side effect of heightened amygdala activity (Kalia et al., 2020). </w:t>
      </w:r>
    </w:p>
    <w:p w14:paraId="47215560" w14:textId="054A8E75" w:rsidR="002D1216" w:rsidRPr="00CD2F5C" w:rsidRDefault="4212F072" w:rsidP="002B0F75">
      <w:pPr>
        <w:spacing w:line="360" w:lineRule="auto"/>
        <w:rPr>
          <w:rFonts w:ascii="Cambria" w:eastAsia="Calibri" w:hAnsi="Cambria" w:cs="Times New Roman"/>
          <w:sz w:val="24"/>
          <w:szCs w:val="24"/>
        </w:rPr>
      </w:pPr>
      <w:r w:rsidRPr="18832B83">
        <w:rPr>
          <w:rFonts w:ascii="Cambria" w:eastAsia="Calibri" w:hAnsi="Cambria" w:cs="Times New Roman"/>
          <w:sz w:val="24"/>
          <w:szCs w:val="24"/>
        </w:rPr>
        <w:t xml:space="preserve">Several other studies have already shown the involvement of neuroanatomical reorganisation, </w:t>
      </w:r>
      <w:proofErr w:type="spellStart"/>
      <w:r w:rsidRPr="18832B83">
        <w:rPr>
          <w:rFonts w:ascii="Cambria" w:eastAsia="Calibri" w:hAnsi="Cambria" w:cs="Times New Roman"/>
          <w:sz w:val="24"/>
          <w:szCs w:val="24"/>
        </w:rPr>
        <w:t>neurotrophin</w:t>
      </w:r>
      <w:proofErr w:type="spellEnd"/>
      <w:r w:rsidRPr="18832B83">
        <w:rPr>
          <w:rFonts w:ascii="Cambria" w:eastAsia="Calibri" w:hAnsi="Cambria" w:cs="Times New Roman"/>
          <w:sz w:val="24"/>
          <w:szCs w:val="24"/>
        </w:rPr>
        <w:t xml:space="preserve"> and monoamine depletion, neuroinflammation, and endocannabinoid system changes in the general experience of pain after trauma (Brown et al., 2018). It is unclear what this link means clinically, but the variety of neurobiological implications are important to consider in the development of chronic pain conditions, particularly for healthcare providers. Further, it is less complex to measure high concentrations of peripheral inflammatory markers such as cytokines and C-reactive protein (CRP) compared to other biomarkers like cortisol or cytokines, which have been </w:t>
      </w:r>
      <w:r w:rsidRPr="18832B83">
        <w:rPr>
          <w:rFonts w:ascii="Cambria" w:eastAsia="Calibri" w:hAnsi="Cambria" w:cs="Times New Roman"/>
          <w:sz w:val="24"/>
          <w:szCs w:val="24"/>
        </w:rPr>
        <w:lastRenderedPageBreak/>
        <w:t xml:space="preserve">described in PTSD, anxiety, panic disorder, and even a variety of phobias (Oliveira et al. 2023). A recent population study showed that monitoring cytokine levels and immune function may be beneficial in preventing the development of a current depressive episode. However, results also showed no statistically significant difference in serum cytokine levels between participants with a current depressive episode, both with and without childhood trauma (Oliveira et al. 2023). </w:t>
      </w:r>
      <w:bookmarkStart w:id="15" w:name="_Hlk180840044"/>
      <w:r w:rsidR="4E1A96BF" w:rsidRPr="18832B83">
        <w:rPr>
          <w:rFonts w:ascii="Cambria" w:eastAsia="Calibri" w:hAnsi="Cambria" w:cs="Times New Roman"/>
          <w:sz w:val="24"/>
          <w:szCs w:val="24"/>
        </w:rPr>
        <w:t>In a study of over 1000 Dutch adults that examined depressive and anxiety disorders as covariates that may confound the association between chronic musculoskeletal-related pain and functioning of the HPA-axis via cortisol measurement, none of the cortisol measures assessed significantly associated chronic pain with depressive/anxiety disorders (</w:t>
      </w:r>
      <w:proofErr w:type="spellStart"/>
      <w:r w:rsidR="4E1A96BF" w:rsidRPr="18832B83">
        <w:rPr>
          <w:rFonts w:ascii="Cambria" w:eastAsia="Calibri" w:hAnsi="Cambria" w:cs="Times New Roman"/>
          <w:sz w:val="24"/>
          <w:szCs w:val="24"/>
        </w:rPr>
        <w:t>Generaal</w:t>
      </w:r>
      <w:proofErr w:type="spellEnd"/>
      <w:r w:rsidR="4E1A96BF" w:rsidRPr="18832B83">
        <w:rPr>
          <w:rFonts w:ascii="Cambria" w:eastAsia="Calibri" w:hAnsi="Cambria" w:cs="Times New Roman"/>
          <w:sz w:val="24"/>
          <w:szCs w:val="24"/>
        </w:rPr>
        <w:t xml:space="preserve"> et al. 2014). Additionally, a slightly more recent systematic review did not find inflammatory biomarker associations with low back pain for most of the studies assessed, however, significantly higher median CRP levels were found in those with higher pain intensities versus low pain intensities (Morris t al. 2020). Unfortunately, as these were low levels of evidence and a small number of studies, further examinations of CRP specifically due to such inconsistent results examining broader inflammatory markers seems warranted. </w:t>
      </w:r>
      <w:bookmarkEnd w:id="15"/>
      <w:r w:rsidRPr="18832B83">
        <w:rPr>
          <w:rFonts w:ascii="Cambria" w:eastAsia="Calibri" w:hAnsi="Cambria" w:cs="Times New Roman"/>
          <w:sz w:val="24"/>
          <w:szCs w:val="24"/>
        </w:rPr>
        <w:t xml:space="preserve">Such inconsistency in the results </w:t>
      </w:r>
      <w:r w:rsidR="4E1A96BF" w:rsidRPr="18832B83">
        <w:rPr>
          <w:rFonts w:ascii="Cambria" w:eastAsia="Calibri" w:hAnsi="Cambria" w:cs="Times New Roman"/>
          <w:sz w:val="24"/>
          <w:szCs w:val="24"/>
        </w:rPr>
        <w:t xml:space="preserve">to date also </w:t>
      </w:r>
      <w:r w:rsidRPr="18832B83">
        <w:rPr>
          <w:rFonts w:ascii="Cambria" w:eastAsia="Calibri" w:hAnsi="Cambria" w:cs="Times New Roman"/>
          <w:sz w:val="24"/>
          <w:szCs w:val="24"/>
        </w:rPr>
        <w:t xml:space="preserve">makes it difficult to understand the </w:t>
      </w:r>
      <w:r w:rsidR="4E1A96BF" w:rsidRPr="18832B83">
        <w:rPr>
          <w:rFonts w:ascii="Cambria" w:eastAsia="Calibri" w:hAnsi="Cambria" w:cs="Times New Roman"/>
          <w:sz w:val="24"/>
          <w:szCs w:val="24"/>
        </w:rPr>
        <w:t xml:space="preserve">clear </w:t>
      </w:r>
      <w:r w:rsidRPr="18832B83">
        <w:rPr>
          <w:rFonts w:ascii="Cambria" w:eastAsia="Calibri" w:hAnsi="Cambria" w:cs="Times New Roman"/>
          <w:sz w:val="24"/>
          <w:szCs w:val="24"/>
        </w:rPr>
        <w:t xml:space="preserve">relationship between inflammation and depression, as well differentiating from other mental health-related symptoms, highlighting a need to </w:t>
      </w:r>
      <w:r w:rsidR="7C85E7BA" w:rsidRPr="18832B83">
        <w:rPr>
          <w:rFonts w:ascii="Cambria" w:eastAsia="Calibri" w:hAnsi="Cambria" w:cs="Times New Roman"/>
          <w:sz w:val="24"/>
          <w:szCs w:val="24"/>
        </w:rPr>
        <w:t xml:space="preserve">further </w:t>
      </w:r>
      <w:r w:rsidRPr="18832B83">
        <w:rPr>
          <w:rFonts w:ascii="Cambria" w:eastAsia="Calibri" w:hAnsi="Cambria" w:cs="Times New Roman"/>
          <w:sz w:val="24"/>
          <w:szCs w:val="24"/>
        </w:rPr>
        <w:t xml:space="preserve">explore the underlying role of inflammation in the maintenance of such disorders (Michopoulos et al., 2017). </w:t>
      </w:r>
    </w:p>
    <w:p w14:paraId="64D51D6A" w14:textId="39BB5FF1" w:rsidR="002D1216"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Elevated levels of biomarkers, such as pro-inflammatory cytokines, have been observed in the blood of individuals who have experienced trauma (Muniz Carvalho et al. 2021) and CRP is commonly used as an indicator of systemic inflammation (Sproston et al., 2018), particularly as it requires less complex measuring than other biomarkers. </w:t>
      </w:r>
      <w:bookmarkStart w:id="16" w:name="_Hlk180839797"/>
      <w:r w:rsidRPr="00CD2F5C">
        <w:rPr>
          <w:rFonts w:ascii="Cambria" w:eastAsia="Calibri" w:hAnsi="Cambria" w:cs="Times New Roman"/>
          <w:sz w:val="24"/>
          <w:szCs w:val="24"/>
        </w:rPr>
        <w:t>Gaining insight into the underlying mechanisms of the inflammatory-trauma association is not only of importance for theoretical understanding but could help lead to important treatment implications for those with chronic pain and anxiety</w:t>
      </w:r>
      <w:r w:rsidR="00665160">
        <w:rPr>
          <w:rFonts w:ascii="Cambria" w:eastAsia="Calibri" w:hAnsi="Cambria" w:cs="Times New Roman"/>
          <w:sz w:val="24"/>
          <w:szCs w:val="24"/>
        </w:rPr>
        <w:t>, such as identifying predisposition or vulnerability factors</w:t>
      </w:r>
      <w:r w:rsidRPr="00CD2F5C">
        <w:rPr>
          <w:rFonts w:ascii="Cambria" w:eastAsia="Calibri" w:hAnsi="Cambria" w:cs="Times New Roman"/>
          <w:sz w:val="24"/>
          <w:szCs w:val="24"/>
        </w:rPr>
        <w:t>.</w:t>
      </w:r>
      <w:bookmarkEnd w:id="16"/>
      <w:r w:rsidRPr="00CD2F5C">
        <w:rPr>
          <w:rFonts w:ascii="Cambria" w:eastAsia="Calibri" w:hAnsi="Cambria" w:cs="Times New Roman"/>
          <w:sz w:val="24"/>
          <w:szCs w:val="24"/>
        </w:rPr>
        <w:t xml:space="preserve"> For instance, if childhood trauma history is causally related to elevated CRP, inflammatory markers may be useful in identifying people at risk of chronic pain, and anti-inflammatory treatments may become a therapeutic option (in lieu of </w:t>
      </w:r>
      <w:r w:rsidRPr="00CD2F5C">
        <w:rPr>
          <w:rFonts w:ascii="Cambria" w:eastAsia="Calibri" w:hAnsi="Cambria" w:cs="Times New Roman"/>
          <w:sz w:val="24"/>
          <w:szCs w:val="24"/>
        </w:rPr>
        <w:lastRenderedPageBreak/>
        <w:t>standard of care o</w:t>
      </w:r>
      <w:r w:rsidR="00AE75F3" w:rsidRPr="00AE75F3">
        <w:rPr>
          <w:rFonts w:ascii="Cambria" w:eastAsia="Calibri" w:hAnsi="Cambria" w:cs="Times New Roman"/>
          <w:sz w:val="24"/>
          <w:szCs w:val="24"/>
        </w:rPr>
        <w:t>pioid</w:t>
      </w:r>
      <w:r w:rsidR="00AE75F3">
        <w:rPr>
          <w:rFonts w:ascii="Cambria" w:eastAsia="Calibri" w:hAnsi="Cambria" w:cs="Times New Roman"/>
          <w:sz w:val="24"/>
          <w:szCs w:val="24"/>
        </w:rPr>
        <w:t>s</w:t>
      </w:r>
      <w:r w:rsidRPr="00CD2F5C">
        <w:rPr>
          <w:rFonts w:ascii="Cambria" w:eastAsia="Calibri" w:hAnsi="Cambria" w:cs="Times New Roman"/>
          <w:sz w:val="24"/>
          <w:szCs w:val="24"/>
        </w:rPr>
        <w:t xml:space="preserve">). In other words, if childhood trauma appears to cause increased inflammation as indexed via CRP, evidence for a pathway where early life adversity increases the risk of chronic pain and/or anxiety would also support future inflammatory biomarker screening and treatment of inflammation as an option in persons with childhood trauma history. Alternatively, if there is no causal relationship between childhood trauma and inflammatory CRP, it would still be useful to be aware of this and form the basis for future studies looking into different factors (e.g., co-occurring mental health disorders such as anxiety). </w:t>
      </w:r>
    </w:p>
    <w:p w14:paraId="6CD1FA7E" w14:textId="4998EAE0" w:rsidR="0073321F" w:rsidRPr="00CD2F5C" w:rsidRDefault="06BDC11B" w:rsidP="002B0F75">
      <w:pPr>
        <w:spacing w:line="360" w:lineRule="auto"/>
        <w:rPr>
          <w:rFonts w:ascii="Cambria" w:eastAsia="Calibri" w:hAnsi="Cambria" w:cs="Times New Roman"/>
          <w:sz w:val="24"/>
          <w:szCs w:val="24"/>
        </w:rPr>
      </w:pPr>
      <w:bookmarkStart w:id="17" w:name="_Hlk180840093"/>
      <w:r w:rsidRPr="18832B83">
        <w:rPr>
          <w:rFonts w:ascii="Cambria" w:eastAsia="Calibri" w:hAnsi="Cambria" w:cs="Times New Roman"/>
          <w:sz w:val="24"/>
          <w:szCs w:val="24"/>
        </w:rPr>
        <w:t>F</w:t>
      </w:r>
      <w:r w:rsidR="4E1A96BF" w:rsidRPr="18832B83">
        <w:rPr>
          <w:rFonts w:ascii="Cambria" w:eastAsia="Calibri" w:hAnsi="Cambria" w:cs="Times New Roman"/>
          <w:sz w:val="24"/>
          <w:szCs w:val="24"/>
        </w:rPr>
        <w:t>rom a practical standpoint, CRP is generally considered easier to assess than other inflammatory markers, such as the erythrocyte sedimentation rate (ESR) and plasma viscosity (PV). CRP is more sensitive and also has better specificity than ESR, meaning it is less likely to produce false positive results. CRP is not affected by as many other factors as PV or ESR. ESR, for example, is also affected by age, gender, smoking and anaemia. Cortisol sampling can be complicated and temperamental to the time of day.</w:t>
      </w:r>
      <w:r>
        <w:t xml:space="preserve"> </w:t>
      </w:r>
      <w:r w:rsidRPr="18832B83">
        <w:rPr>
          <w:rFonts w:ascii="Cambria" w:eastAsia="Calibri" w:hAnsi="Cambria" w:cs="Times New Roman"/>
          <w:sz w:val="24"/>
          <w:szCs w:val="24"/>
        </w:rPr>
        <w:t>Finally, in regard to affordability, in particular for US populations or other countries with for-profit based healthcare, CRP tests are also more realistic, costing around $12–$16 and only requiring a small amount of blood to assess</w:t>
      </w:r>
      <w:r w:rsidR="00DC3F98">
        <w:rPr>
          <w:rFonts w:ascii="Cambria" w:eastAsia="Calibri" w:hAnsi="Cambria" w:cs="Times New Roman"/>
          <w:sz w:val="24"/>
          <w:szCs w:val="24"/>
        </w:rPr>
        <w:t xml:space="preserve"> (Lubell et al., 2024; HHP, 2017)</w:t>
      </w:r>
      <w:r w:rsidRPr="18832B83">
        <w:rPr>
          <w:rFonts w:ascii="Cambria" w:eastAsia="Calibri" w:hAnsi="Cambria" w:cs="Times New Roman"/>
          <w:sz w:val="24"/>
          <w:szCs w:val="24"/>
        </w:rPr>
        <w:t>.</w:t>
      </w:r>
      <w:bookmarkEnd w:id="17"/>
    </w:p>
    <w:p w14:paraId="5ED647AB"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 </w:t>
      </w:r>
    </w:p>
    <w:p w14:paraId="5D8854FE"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i/>
          <w:iCs/>
          <w:sz w:val="24"/>
          <w:szCs w:val="24"/>
        </w:rPr>
        <w:t>Rationale</w:t>
      </w:r>
      <w:r w:rsidRPr="00CD2F5C">
        <w:rPr>
          <w:rFonts w:ascii="Cambria" w:eastAsia="Calibri" w:hAnsi="Cambria" w:cs="Times New Roman"/>
          <w:sz w:val="24"/>
          <w:szCs w:val="24"/>
        </w:rPr>
        <w:t xml:space="preserve"> </w:t>
      </w:r>
    </w:p>
    <w:p w14:paraId="5231875D"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To date, most studies exploring the associations between anxiety and pain, and ACEs and pain, are cross-sectional and limited in sample size. Although observational correlational studies can show that two variables are related, they cannot directly determine causation or direction of causality. A correlational study may describe or predict an outcome, but not explain it. Longitudinal observational studies can help inform on a causal hypothesis if they are organised and performed properly (Lervåg, 2019). In this context, longitudinal studies can shed light on the possibility that experiencing an early life history of adversity may lead to anxiety symptoms or diagnosis and subsequently chronic pain in adulthood; as such, anxiety might be mediating the ACE-pain association. On the other hand, although ACEs and anxiety are likely to be related, it is possible that both independently predict later </w:t>
      </w:r>
      <w:r w:rsidRPr="00CD2F5C">
        <w:rPr>
          <w:rFonts w:ascii="Cambria" w:eastAsia="Calibri" w:hAnsi="Cambria" w:cs="Times New Roman"/>
          <w:sz w:val="24"/>
          <w:szCs w:val="24"/>
        </w:rPr>
        <w:lastRenderedPageBreak/>
        <w:t xml:space="preserve">chronic pain to some extent, or that they interact in their contribution to the variance in chronic pain, such that anxiety only partially mediates or moderates the association between ACEs and pain. With the addition of biomarker data from a longitudinal database, there is a potential for longitudinal analysis to better substantiate these possible associations.  </w:t>
      </w:r>
    </w:p>
    <w:p w14:paraId="5122D4A0" w14:textId="5816AB38" w:rsidR="002D1216" w:rsidRPr="00CD2F5C" w:rsidRDefault="179D8B01" w:rsidP="002B0F75">
      <w:pPr>
        <w:spacing w:line="360" w:lineRule="auto"/>
        <w:rPr>
          <w:rFonts w:ascii="Cambria" w:eastAsia="Calibri" w:hAnsi="Cambria" w:cs="Times New Roman"/>
          <w:sz w:val="24"/>
          <w:szCs w:val="24"/>
        </w:rPr>
      </w:pPr>
      <w:r w:rsidRPr="1E06730D">
        <w:rPr>
          <w:rFonts w:ascii="Cambria" w:eastAsia="Calibri" w:hAnsi="Cambria" w:cs="Times New Roman"/>
          <w:sz w:val="24"/>
          <w:szCs w:val="24"/>
        </w:rPr>
        <w:t xml:space="preserve">The conceptual model visualized in </w:t>
      </w:r>
      <w:r w:rsidRPr="1E06730D">
        <w:rPr>
          <w:rFonts w:ascii="Cambria" w:eastAsia="Calibri" w:hAnsi="Cambria" w:cs="Times New Roman"/>
          <w:b/>
          <w:bCs/>
          <w:sz w:val="24"/>
          <w:szCs w:val="24"/>
        </w:rPr>
        <w:t>Figure 1</w:t>
      </w:r>
      <w:r w:rsidRPr="1E06730D">
        <w:rPr>
          <w:rFonts w:ascii="Cambria" w:eastAsia="Calibri" w:hAnsi="Cambria" w:cs="Times New Roman"/>
          <w:sz w:val="24"/>
          <w:szCs w:val="24"/>
        </w:rPr>
        <w:t xml:space="preserve"> is based on the scattered evidence available to date and underpins the research objectives and hypotheses of this thesis. As visualized in </w:t>
      </w:r>
      <w:r w:rsidRPr="1E06730D">
        <w:rPr>
          <w:rFonts w:ascii="Cambria" w:eastAsia="Calibri" w:hAnsi="Cambria" w:cs="Times New Roman"/>
          <w:b/>
          <w:bCs/>
          <w:sz w:val="24"/>
          <w:szCs w:val="24"/>
        </w:rPr>
        <w:t>Figure 1</w:t>
      </w:r>
      <w:r w:rsidRPr="1E06730D">
        <w:rPr>
          <w:rFonts w:ascii="Cambria" w:eastAsia="Calibri" w:hAnsi="Cambria" w:cs="Times New Roman"/>
          <w:sz w:val="24"/>
          <w:szCs w:val="24"/>
        </w:rPr>
        <w:t xml:space="preserve">, exposure to chronic ACEs </w:t>
      </w:r>
      <w:r w:rsidR="0063342B" w:rsidRPr="1E06730D">
        <w:rPr>
          <w:rFonts w:ascii="Cambria" w:eastAsia="Calibri" w:hAnsi="Cambria" w:cs="Times New Roman"/>
          <w:sz w:val="24"/>
          <w:szCs w:val="24"/>
        </w:rPr>
        <w:t>is</w:t>
      </w:r>
      <w:r w:rsidR="3D2954D8" w:rsidRPr="1E06730D">
        <w:rPr>
          <w:rFonts w:ascii="Cambria" w:eastAsia="Calibri" w:hAnsi="Cambria" w:cs="Times New Roman"/>
          <w:sz w:val="24"/>
          <w:szCs w:val="24"/>
        </w:rPr>
        <w:t xml:space="preserve"> anticipated to </w:t>
      </w:r>
      <w:r w:rsidRPr="1E06730D">
        <w:rPr>
          <w:rFonts w:ascii="Cambria" w:eastAsia="Calibri" w:hAnsi="Cambria" w:cs="Times New Roman"/>
          <w:sz w:val="24"/>
          <w:szCs w:val="24"/>
        </w:rPr>
        <w:t xml:space="preserve">drive adrenocorticotropic hormone and cortisol release, and increased activity of the sympathetic nervous system. This activity </w:t>
      </w:r>
      <w:r w:rsidR="246EB2C9" w:rsidRPr="1E06730D">
        <w:rPr>
          <w:rFonts w:ascii="Cambria" w:eastAsia="Calibri" w:hAnsi="Cambria" w:cs="Times New Roman"/>
          <w:sz w:val="24"/>
          <w:szCs w:val="24"/>
        </w:rPr>
        <w:t xml:space="preserve">is </w:t>
      </w:r>
      <w:r w:rsidRPr="1E06730D">
        <w:rPr>
          <w:rFonts w:ascii="Cambria" w:eastAsia="Calibri" w:hAnsi="Cambria" w:cs="Times New Roman"/>
          <w:sz w:val="24"/>
          <w:szCs w:val="24"/>
        </w:rPr>
        <w:t xml:space="preserve">then </w:t>
      </w:r>
      <w:r w:rsidR="683CA292" w:rsidRPr="1E06730D">
        <w:rPr>
          <w:rFonts w:ascii="Cambria" w:eastAsia="Calibri" w:hAnsi="Cambria" w:cs="Times New Roman"/>
          <w:sz w:val="24"/>
          <w:szCs w:val="24"/>
        </w:rPr>
        <w:t xml:space="preserve">anticipated </w:t>
      </w:r>
      <w:r w:rsidRPr="1E06730D">
        <w:rPr>
          <w:rFonts w:ascii="Cambria" w:eastAsia="Calibri" w:hAnsi="Cambria" w:cs="Times New Roman"/>
          <w:sz w:val="24"/>
          <w:szCs w:val="24"/>
        </w:rPr>
        <w:t xml:space="preserve">increases expression of pro-inflammatory cytokines (e.g., IL-1, IL-6, TNF, IFN-γ) and CRP. A pro-inflammatory allostatic state </w:t>
      </w:r>
      <w:r w:rsidR="631599DE" w:rsidRPr="1E06730D">
        <w:rPr>
          <w:rFonts w:ascii="Cambria" w:eastAsia="Calibri" w:hAnsi="Cambria" w:cs="Times New Roman"/>
          <w:sz w:val="24"/>
          <w:szCs w:val="24"/>
        </w:rPr>
        <w:t xml:space="preserve">is </w:t>
      </w:r>
      <w:r w:rsidRPr="1E06730D">
        <w:rPr>
          <w:rFonts w:ascii="Cambria" w:eastAsia="Calibri" w:hAnsi="Cambria" w:cs="Times New Roman"/>
          <w:sz w:val="24"/>
          <w:szCs w:val="24"/>
        </w:rPr>
        <w:t>then</w:t>
      </w:r>
      <w:r w:rsidR="4F0BCC46" w:rsidRPr="1E06730D">
        <w:rPr>
          <w:rFonts w:ascii="Cambria" w:eastAsia="Calibri" w:hAnsi="Cambria" w:cs="Times New Roman"/>
          <w:sz w:val="24"/>
          <w:szCs w:val="24"/>
        </w:rPr>
        <w:t xml:space="preserve"> anticipated to</w:t>
      </w:r>
      <w:r w:rsidRPr="1E06730D">
        <w:rPr>
          <w:rFonts w:ascii="Cambria" w:eastAsia="Calibri" w:hAnsi="Cambria" w:cs="Times New Roman"/>
          <w:sz w:val="24"/>
          <w:szCs w:val="24"/>
        </w:rPr>
        <w:t xml:space="preserve"> contribute to psychopathological symptoms via the systems in brain regions underlying emotion regulation and can contribute to chronic pain.</w:t>
      </w:r>
    </w:p>
    <w:p w14:paraId="4043CFCC" w14:textId="77777777" w:rsidR="002D1216" w:rsidRPr="00CD2F5C" w:rsidRDefault="002D1216" w:rsidP="002B0F75">
      <w:pPr>
        <w:spacing w:line="360" w:lineRule="auto"/>
        <w:rPr>
          <w:rFonts w:ascii="Cambria" w:eastAsia="Calibri" w:hAnsi="Cambria" w:cs="Times New Roman"/>
          <w:b/>
          <w:bCs/>
          <w:sz w:val="24"/>
          <w:szCs w:val="24"/>
        </w:rPr>
      </w:pPr>
      <w:r w:rsidRPr="00CD2F5C">
        <w:rPr>
          <w:noProof/>
        </w:rPr>
        <w:drawing>
          <wp:inline distT="0" distB="0" distL="0" distR="0" wp14:anchorId="6F9F1F3C" wp14:editId="467E3D67">
            <wp:extent cx="5943600" cy="4406265"/>
            <wp:effectExtent l="19050" t="19050" r="19050" b="13335"/>
            <wp:docPr id="13551474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943600" cy="4406265"/>
                    </a:xfrm>
                    <a:prstGeom prst="rect">
                      <a:avLst/>
                    </a:prstGeom>
                    <a:ln w="19050">
                      <a:solidFill>
                        <a:srgbClr val="0070C0"/>
                      </a:solidFill>
                    </a:ln>
                  </pic:spPr>
                </pic:pic>
              </a:graphicData>
            </a:graphic>
          </wp:inline>
        </w:drawing>
      </w:r>
    </w:p>
    <w:p w14:paraId="04879E81"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b/>
          <w:bCs/>
          <w:sz w:val="24"/>
          <w:szCs w:val="24"/>
        </w:rPr>
        <w:lastRenderedPageBreak/>
        <w:t>Figure 1. Conceptual model* of relations among early life stress and trauma/ACEs, the HPA axis, psychopathologies, and pain conditions</w:t>
      </w:r>
    </w:p>
    <w:p w14:paraId="61D862B9" w14:textId="77777777" w:rsidR="002D1216" w:rsidRPr="00CD2F5C" w:rsidRDefault="002D1216" w:rsidP="002B0F75">
      <w:pPr>
        <w:spacing w:line="360" w:lineRule="auto"/>
        <w:rPr>
          <w:rFonts w:ascii="Cambria" w:eastAsia="Calibri" w:hAnsi="Cambria" w:cs="Times New Roman"/>
        </w:rPr>
      </w:pPr>
      <w:r w:rsidRPr="00CD2F5C">
        <w:rPr>
          <w:rFonts w:ascii="Cambria" w:eastAsia="Calibri" w:hAnsi="Cambria" w:cs="Times New Roman"/>
        </w:rPr>
        <w:t xml:space="preserve">ACE, adverse childhood experience; CRP, C-reactive protein; IBS, irritable bowel syndrome; IFN, Interferon; IL, interleukin; PTSD, post-traumatic stress disorder; TNF, tumour necrosis factor. </w:t>
      </w:r>
    </w:p>
    <w:p w14:paraId="45504553" w14:textId="77777777" w:rsidR="002D1216" w:rsidRPr="00CD2F5C" w:rsidRDefault="002D1216" w:rsidP="002B0F75">
      <w:pPr>
        <w:spacing w:line="360" w:lineRule="auto"/>
        <w:rPr>
          <w:rFonts w:ascii="Cambria" w:eastAsia="Calibri" w:hAnsi="Cambria" w:cs="Times New Roman"/>
          <w:b/>
          <w:bCs/>
          <w:sz w:val="24"/>
          <w:szCs w:val="24"/>
        </w:rPr>
      </w:pPr>
    </w:p>
    <w:p w14:paraId="33804D21"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b/>
          <w:bCs/>
          <w:sz w:val="24"/>
          <w:szCs w:val="24"/>
        </w:rPr>
        <w:t>Objectives</w:t>
      </w:r>
    </w:p>
    <w:p w14:paraId="5C1BCBDF" w14:textId="77777777" w:rsidR="002D1216" w:rsidRPr="00CD2F5C" w:rsidRDefault="002D1216" w:rsidP="002B0F75">
      <w:pPr>
        <w:spacing w:line="360" w:lineRule="auto"/>
        <w:rPr>
          <w:rFonts w:ascii="Cambria" w:eastAsia="Calibri" w:hAnsi="Cambria" w:cs="Times New Roman"/>
          <w:i/>
          <w:iCs/>
          <w:sz w:val="24"/>
          <w:szCs w:val="24"/>
        </w:rPr>
      </w:pPr>
      <w:r w:rsidRPr="00CD2F5C">
        <w:rPr>
          <w:rFonts w:ascii="Cambria" w:eastAsia="Calibri" w:hAnsi="Cambria" w:cs="Times New Roman"/>
          <w:i/>
          <w:iCs/>
          <w:sz w:val="24"/>
          <w:szCs w:val="24"/>
        </w:rPr>
        <w:t xml:space="preserve">Primary Objectives </w:t>
      </w:r>
    </w:p>
    <w:p w14:paraId="3168FE88" w14:textId="53173812" w:rsidR="002D1216" w:rsidRPr="00CD2F5C" w:rsidRDefault="002D1216" w:rsidP="002B0F75">
      <w:pPr>
        <w:spacing w:line="360" w:lineRule="auto"/>
        <w:rPr>
          <w:rFonts w:ascii="Cambria" w:eastAsia="Calibri" w:hAnsi="Cambria" w:cs="Times New Roman"/>
          <w:sz w:val="24"/>
          <w:szCs w:val="24"/>
        </w:rPr>
      </w:pPr>
      <w:r w:rsidRPr="6E2346AC">
        <w:rPr>
          <w:rFonts w:ascii="Cambria" w:eastAsia="Calibri" w:hAnsi="Cambria" w:cs="Times New Roman"/>
          <w:sz w:val="24"/>
          <w:szCs w:val="24"/>
        </w:rPr>
        <w:t xml:space="preserve">The objective of this overall PhD thesis was to investigate the relationship between </w:t>
      </w:r>
      <w:r w:rsidR="78C07BF2" w:rsidRPr="6E2346AC">
        <w:rPr>
          <w:rFonts w:ascii="Cambria" w:eastAsia="Calibri" w:hAnsi="Cambria" w:cs="Times New Roman"/>
          <w:sz w:val="24"/>
          <w:szCs w:val="24"/>
        </w:rPr>
        <w:t xml:space="preserve">childhood adversity and </w:t>
      </w:r>
      <w:r w:rsidRPr="6E2346AC">
        <w:rPr>
          <w:rFonts w:ascii="Cambria" w:eastAsia="Calibri" w:hAnsi="Cambria" w:cs="Times New Roman"/>
          <w:sz w:val="24"/>
          <w:szCs w:val="24"/>
        </w:rPr>
        <w:t xml:space="preserve">anxiety on chronic pain experiences in adulthood. </w:t>
      </w:r>
    </w:p>
    <w:p w14:paraId="23F97D0D" w14:textId="77777777" w:rsidR="002D1216" w:rsidRPr="00CD2F5C" w:rsidRDefault="002D1216" w:rsidP="002B0F75">
      <w:pPr>
        <w:spacing w:line="360" w:lineRule="auto"/>
        <w:rPr>
          <w:rFonts w:ascii="Cambria" w:eastAsia="Calibri" w:hAnsi="Cambria" w:cs="Times New Roman"/>
          <w:i/>
          <w:iCs/>
          <w:sz w:val="24"/>
          <w:szCs w:val="24"/>
        </w:rPr>
      </w:pPr>
      <w:r w:rsidRPr="00CD2F5C">
        <w:rPr>
          <w:rFonts w:ascii="Cambria" w:eastAsia="Calibri" w:hAnsi="Cambria" w:cs="Times New Roman"/>
          <w:i/>
          <w:iCs/>
          <w:sz w:val="24"/>
          <w:szCs w:val="24"/>
        </w:rPr>
        <w:t xml:space="preserve">Secondary Objectives </w:t>
      </w:r>
    </w:p>
    <w:p w14:paraId="353F26CD"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sz w:val="24"/>
          <w:szCs w:val="24"/>
        </w:rPr>
        <w:t>The secondary objective was to look at whether these factors were also associated with the inflammatory biomarker CRP, as the link between childhood adversity, anxiety, and chronic pain may be influenced by CRP.</w:t>
      </w:r>
    </w:p>
    <w:p w14:paraId="52C06076" w14:textId="3CCEDE16" w:rsidR="002D1216" w:rsidRPr="00CD2F5C" w:rsidRDefault="179D8B01" w:rsidP="002B0F75">
      <w:pPr>
        <w:spacing w:line="360" w:lineRule="auto"/>
        <w:rPr>
          <w:rFonts w:ascii="Cambria" w:eastAsia="Calibri" w:hAnsi="Cambria" w:cs="Times New Roman"/>
          <w:sz w:val="24"/>
          <w:szCs w:val="24"/>
        </w:rPr>
      </w:pPr>
      <w:r w:rsidRPr="6E2346AC">
        <w:rPr>
          <w:rFonts w:ascii="Cambria" w:eastAsia="Calibri" w:hAnsi="Cambria" w:cs="Times New Roman"/>
          <w:sz w:val="24"/>
          <w:szCs w:val="24"/>
        </w:rPr>
        <w:t xml:space="preserve">The null hypothesis was that no association between anxiety diagnosis, childhood adversity/trauma, </w:t>
      </w:r>
      <w:r w:rsidR="040448D2" w:rsidRPr="6E2346AC">
        <w:rPr>
          <w:rFonts w:ascii="Cambria" w:eastAsia="Calibri" w:hAnsi="Cambria" w:cs="Times New Roman"/>
          <w:sz w:val="24"/>
          <w:szCs w:val="24"/>
        </w:rPr>
        <w:t xml:space="preserve">CRP, </w:t>
      </w:r>
      <w:r w:rsidRPr="6E2346AC">
        <w:rPr>
          <w:rFonts w:ascii="Cambria" w:eastAsia="Calibri" w:hAnsi="Cambria" w:cs="Times New Roman"/>
          <w:sz w:val="24"/>
          <w:szCs w:val="24"/>
        </w:rPr>
        <w:t>and chronic pain exists. The alternate hypothesis was that there would be a significant positive association between childhood adversity/trauma, anxiety,</w:t>
      </w:r>
      <w:r w:rsidR="5BEC6F29" w:rsidRPr="6E2346AC">
        <w:rPr>
          <w:rFonts w:ascii="Cambria" w:eastAsia="Calibri" w:hAnsi="Cambria" w:cs="Times New Roman"/>
          <w:sz w:val="24"/>
          <w:szCs w:val="24"/>
        </w:rPr>
        <w:t xml:space="preserve"> CRP, </w:t>
      </w:r>
      <w:r w:rsidRPr="6E2346AC">
        <w:rPr>
          <w:rFonts w:ascii="Cambria" w:eastAsia="Calibri" w:hAnsi="Cambria" w:cs="Times New Roman"/>
          <w:sz w:val="24"/>
          <w:szCs w:val="24"/>
        </w:rPr>
        <w:t>and chronic pain experiences. Specifically, it was hypothesised that there would be positive associations between 1) childhood adversity and anxiety, 2) childhood adversity and CRP levels, 3) childhood adversity and pain, and 4) that the link between childhood adversity and pain will be influenced by anxiety and/or CRP.</w:t>
      </w:r>
    </w:p>
    <w:p w14:paraId="39416E7A" w14:textId="3E69B32B" w:rsidR="002D1216" w:rsidRPr="00CD2F5C" w:rsidRDefault="179D8B01" w:rsidP="002B0F75">
      <w:pPr>
        <w:spacing w:line="360" w:lineRule="auto"/>
        <w:rPr>
          <w:rFonts w:ascii="Cambria" w:eastAsia="Calibri" w:hAnsi="Cambria" w:cs="Times New Roman"/>
          <w:sz w:val="24"/>
          <w:szCs w:val="24"/>
        </w:rPr>
      </w:pPr>
      <w:r w:rsidRPr="1E06730D">
        <w:rPr>
          <w:rFonts w:ascii="Cambria" w:eastAsia="Calibri" w:hAnsi="Cambria" w:cs="Times New Roman"/>
          <w:sz w:val="24"/>
          <w:szCs w:val="24"/>
        </w:rPr>
        <w:t>The objectives of the PhD were achieved by completing three studies: a systematic review of the literature and meta-analysis (Chapter Two) and an analysis of longitudinal secondary data for Chapters Three and Four, using UK and US-based databases</w:t>
      </w:r>
      <w:r w:rsidR="23ADA9AE" w:rsidRPr="1E06730D">
        <w:rPr>
          <w:rFonts w:ascii="Cambria" w:eastAsia="Calibri" w:hAnsi="Cambria" w:cs="Times New Roman"/>
          <w:sz w:val="24"/>
          <w:szCs w:val="24"/>
        </w:rPr>
        <w:t xml:space="preserve"> respectively</w:t>
      </w:r>
      <w:r w:rsidRPr="1E06730D">
        <w:rPr>
          <w:rFonts w:ascii="Cambria" w:eastAsia="Calibri" w:hAnsi="Cambria" w:cs="Times New Roman"/>
          <w:sz w:val="24"/>
          <w:szCs w:val="24"/>
        </w:rPr>
        <w:t>.</w:t>
      </w:r>
      <w:r w:rsidRPr="1E06730D">
        <w:rPr>
          <w:rFonts w:ascii="Calibri" w:eastAsia="Calibri" w:hAnsi="Calibri" w:cs="Times New Roman"/>
        </w:rPr>
        <w:t xml:space="preserve"> </w:t>
      </w:r>
      <w:r w:rsidRPr="1E06730D">
        <w:rPr>
          <w:rFonts w:ascii="Cambria" w:eastAsia="Calibri" w:hAnsi="Cambria" w:cs="Times New Roman"/>
          <w:sz w:val="24"/>
          <w:szCs w:val="24"/>
        </w:rPr>
        <w:t>The cohort data provides a unique opportunity to explore the associations in large, representative samples rather than looking at one association separately in smaller samples.</w:t>
      </w:r>
    </w:p>
    <w:p w14:paraId="1E380F78" w14:textId="77777777" w:rsidR="002D1216" w:rsidRPr="00CD2F5C" w:rsidRDefault="002D1216" w:rsidP="002B0F75">
      <w:pPr>
        <w:spacing w:line="360" w:lineRule="auto"/>
        <w:rPr>
          <w:rFonts w:ascii="Cambria" w:eastAsia="Calibri" w:hAnsi="Cambria" w:cs="Times New Roman"/>
          <w:sz w:val="24"/>
          <w:szCs w:val="24"/>
        </w:rPr>
      </w:pPr>
    </w:p>
    <w:p w14:paraId="67B63D91" w14:textId="14AF42E5" w:rsidR="002D1216" w:rsidRPr="004447E8" w:rsidRDefault="00A56048" w:rsidP="002B0F75">
      <w:pPr>
        <w:spacing w:line="360" w:lineRule="auto"/>
        <w:rPr>
          <w:rFonts w:ascii="Cambria" w:eastAsia="Calibri" w:hAnsi="Cambria" w:cs="Times New Roman"/>
          <w:b/>
          <w:bCs/>
          <w:sz w:val="24"/>
          <w:szCs w:val="24"/>
        </w:rPr>
      </w:pPr>
      <w:bookmarkStart w:id="18" w:name="_Hlk180839688"/>
      <w:r w:rsidRPr="004447E8">
        <w:rPr>
          <w:rFonts w:ascii="Cambria" w:eastAsia="Calibri" w:hAnsi="Cambria" w:cs="Times New Roman"/>
          <w:b/>
          <w:bCs/>
          <w:sz w:val="24"/>
          <w:szCs w:val="24"/>
        </w:rPr>
        <w:lastRenderedPageBreak/>
        <w:t xml:space="preserve">Note </w:t>
      </w:r>
      <w:r w:rsidR="009166A4">
        <w:rPr>
          <w:rFonts w:ascii="Cambria" w:eastAsia="Calibri" w:hAnsi="Cambria" w:cs="Times New Roman"/>
          <w:b/>
          <w:bCs/>
          <w:sz w:val="24"/>
          <w:szCs w:val="24"/>
        </w:rPr>
        <w:t>on</w:t>
      </w:r>
      <w:r w:rsidRPr="004447E8">
        <w:rPr>
          <w:rFonts w:ascii="Cambria" w:eastAsia="Calibri" w:hAnsi="Cambria" w:cs="Times New Roman"/>
          <w:b/>
          <w:bCs/>
          <w:sz w:val="24"/>
          <w:szCs w:val="24"/>
        </w:rPr>
        <w:t xml:space="preserve"> </w:t>
      </w:r>
      <w:r w:rsidR="009166A4">
        <w:rPr>
          <w:rFonts w:ascii="Cambria" w:eastAsia="Calibri" w:hAnsi="Cambria" w:cs="Times New Roman"/>
          <w:b/>
          <w:bCs/>
          <w:sz w:val="24"/>
          <w:szCs w:val="24"/>
        </w:rPr>
        <w:t xml:space="preserve">overlapping trauma </w:t>
      </w:r>
      <w:r w:rsidRPr="004447E8">
        <w:rPr>
          <w:rFonts w:ascii="Cambria" w:eastAsia="Calibri" w:hAnsi="Cambria" w:cs="Times New Roman"/>
          <w:b/>
          <w:bCs/>
          <w:sz w:val="24"/>
          <w:szCs w:val="24"/>
        </w:rPr>
        <w:t>terminology</w:t>
      </w:r>
    </w:p>
    <w:p w14:paraId="3509A485" w14:textId="73C7EB1F" w:rsidR="00A56048" w:rsidRPr="00CD2F5C" w:rsidRDefault="06BDC11B" w:rsidP="002B0F75">
      <w:pPr>
        <w:spacing w:line="360" w:lineRule="auto"/>
        <w:rPr>
          <w:rFonts w:ascii="Cambria" w:eastAsia="Calibri" w:hAnsi="Cambria" w:cs="Times New Roman"/>
          <w:sz w:val="24"/>
          <w:szCs w:val="24"/>
        </w:rPr>
      </w:pPr>
      <w:r w:rsidRPr="18832B83">
        <w:rPr>
          <w:rFonts w:ascii="Cambria" w:eastAsia="Calibri" w:hAnsi="Cambria" w:cs="Times New Roman"/>
          <w:sz w:val="24"/>
          <w:szCs w:val="24"/>
        </w:rPr>
        <w:t>The systematic literature review and meta-analysis used a variety of sources, thus including both ACEs and other trauma terms</w:t>
      </w:r>
      <w:r w:rsidR="55DAA458" w:rsidRPr="18832B83">
        <w:rPr>
          <w:rFonts w:ascii="Cambria" w:eastAsia="Calibri" w:hAnsi="Cambria" w:cs="Times New Roman"/>
          <w:sz w:val="24"/>
          <w:szCs w:val="24"/>
        </w:rPr>
        <w:t xml:space="preserve"> </w:t>
      </w:r>
      <w:r w:rsidR="50704D20" w:rsidRPr="18832B83">
        <w:rPr>
          <w:rFonts w:ascii="Cambria" w:eastAsia="Calibri" w:hAnsi="Cambria" w:cs="Times New Roman"/>
          <w:sz w:val="24"/>
          <w:szCs w:val="24"/>
        </w:rPr>
        <w:t xml:space="preserve">(e.g., </w:t>
      </w:r>
      <w:r w:rsidR="00DC3F98">
        <w:rPr>
          <w:rFonts w:ascii="Cambria" w:eastAsia="Calibri" w:hAnsi="Cambria" w:cs="Times New Roman"/>
          <w:sz w:val="24"/>
          <w:szCs w:val="24"/>
        </w:rPr>
        <w:t>early life adversity, childhood adversity, childhood trauma</w:t>
      </w:r>
      <w:r w:rsidR="50704D20" w:rsidRPr="18832B83">
        <w:rPr>
          <w:rFonts w:ascii="Cambria" w:eastAsia="Calibri" w:hAnsi="Cambria" w:cs="Times New Roman"/>
          <w:sz w:val="24"/>
          <w:szCs w:val="24"/>
        </w:rPr>
        <w:t xml:space="preserve">) </w:t>
      </w:r>
      <w:r w:rsidR="55DAA458" w:rsidRPr="18832B83">
        <w:rPr>
          <w:rFonts w:ascii="Cambria" w:eastAsia="Calibri" w:hAnsi="Cambria" w:cs="Times New Roman"/>
          <w:sz w:val="24"/>
          <w:szCs w:val="24"/>
        </w:rPr>
        <w:t>which are overlapping</w:t>
      </w:r>
      <w:r w:rsidRPr="18832B83">
        <w:rPr>
          <w:rFonts w:ascii="Cambria" w:eastAsia="Calibri" w:hAnsi="Cambria" w:cs="Times New Roman"/>
          <w:sz w:val="24"/>
          <w:szCs w:val="24"/>
        </w:rPr>
        <w:t>. The UK Biobank study also utilized ACEs terminology. However, for the US-based MIDUS study, in order to avoid potential confusion and to consider the broadness and diversity of the ACEs concept</w:t>
      </w:r>
      <w:r w:rsidR="5D6FFD3D" w:rsidRPr="18832B83">
        <w:rPr>
          <w:rFonts w:ascii="Cambria" w:eastAsia="Calibri" w:hAnsi="Cambria" w:cs="Times New Roman"/>
          <w:sz w:val="24"/>
          <w:szCs w:val="24"/>
        </w:rPr>
        <w:t>,</w:t>
      </w:r>
      <w:r w:rsidRPr="18832B83">
        <w:rPr>
          <w:rFonts w:ascii="Cambria" w:eastAsia="Calibri" w:hAnsi="Cambria" w:cs="Times New Roman"/>
          <w:sz w:val="24"/>
          <w:szCs w:val="24"/>
        </w:rPr>
        <w:t xml:space="preserve"> we </w:t>
      </w:r>
      <w:r w:rsidR="2A3BCB45" w:rsidRPr="18832B83">
        <w:rPr>
          <w:rFonts w:ascii="Cambria" w:eastAsia="Calibri" w:hAnsi="Cambria" w:cs="Times New Roman"/>
          <w:sz w:val="24"/>
          <w:szCs w:val="24"/>
        </w:rPr>
        <w:t xml:space="preserve">instead </w:t>
      </w:r>
      <w:r w:rsidRPr="18832B83">
        <w:rPr>
          <w:rFonts w:ascii="Cambria" w:eastAsia="Calibri" w:hAnsi="Cambria" w:cs="Times New Roman"/>
          <w:sz w:val="24"/>
          <w:szCs w:val="24"/>
        </w:rPr>
        <w:t>referred to the experiences assessed</w:t>
      </w:r>
      <w:r w:rsidR="2A3BCB45" w:rsidRPr="18832B83">
        <w:rPr>
          <w:rFonts w:ascii="Cambria" w:eastAsia="Calibri" w:hAnsi="Cambria" w:cs="Times New Roman"/>
          <w:sz w:val="24"/>
          <w:szCs w:val="24"/>
        </w:rPr>
        <w:t xml:space="preserve"> in MIDUS</w:t>
      </w:r>
      <w:r w:rsidRPr="18832B83">
        <w:rPr>
          <w:rFonts w:ascii="Cambria" w:eastAsia="Calibri" w:hAnsi="Cambria" w:cs="Times New Roman"/>
          <w:sz w:val="24"/>
          <w:szCs w:val="24"/>
        </w:rPr>
        <w:t xml:space="preserve"> by the </w:t>
      </w:r>
      <w:r w:rsidR="2A3BCB45" w:rsidRPr="18832B83">
        <w:rPr>
          <w:rFonts w:ascii="Cambria" w:eastAsia="Calibri" w:hAnsi="Cambria" w:cs="Times New Roman"/>
          <w:sz w:val="24"/>
          <w:szCs w:val="24"/>
        </w:rPr>
        <w:t>childhood trauma questionnaire (</w:t>
      </w:r>
      <w:r w:rsidRPr="18832B83">
        <w:rPr>
          <w:rFonts w:ascii="Cambria" w:eastAsia="Calibri" w:hAnsi="Cambria" w:cs="Times New Roman"/>
          <w:sz w:val="24"/>
          <w:szCs w:val="24"/>
        </w:rPr>
        <w:t>CTQ</w:t>
      </w:r>
      <w:r w:rsidR="2A3BCB45" w:rsidRPr="18832B83">
        <w:rPr>
          <w:rFonts w:ascii="Cambria" w:eastAsia="Calibri" w:hAnsi="Cambria" w:cs="Times New Roman"/>
          <w:sz w:val="24"/>
          <w:szCs w:val="24"/>
        </w:rPr>
        <w:t>)</w:t>
      </w:r>
      <w:r w:rsidRPr="18832B83">
        <w:rPr>
          <w:rFonts w:ascii="Cambria" w:eastAsia="Calibri" w:hAnsi="Cambria" w:cs="Times New Roman"/>
          <w:sz w:val="24"/>
          <w:szCs w:val="24"/>
        </w:rPr>
        <w:t xml:space="preserve"> as “childhood adversity” (CA)</w:t>
      </w:r>
      <w:r w:rsidR="052923B1" w:rsidRPr="18832B83">
        <w:rPr>
          <w:rFonts w:ascii="Cambria" w:eastAsia="Calibri" w:hAnsi="Cambria" w:cs="Times New Roman"/>
          <w:sz w:val="24"/>
          <w:szCs w:val="24"/>
        </w:rPr>
        <w:t>.</w:t>
      </w:r>
      <w:r w:rsidRPr="18832B83">
        <w:rPr>
          <w:rFonts w:ascii="Cambria" w:eastAsia="Calibri" w:hAnsi="Cambria" w:cs="Times New Roman"/>
          <w:sz w:val="24"/>
          <w:szCs w:val="24"/>
        </w:rPr>
        <w:t xml:space="preserve"> It is worth noting</w:t>
      </w:r>
      <w:r w:rsidR="2A3BCB45" w:rsidRPr="18832B83">
        <w:rPr>
          <w:rFonts w:ascii="Cambria" w:eastAsia="Calibri" w:hAnsi="Cambria" w:cs="Times New Roman"/>
          <w:sz w:val="24"/>
          <w:szCs w:val="24"/>
        </w:rPr>
        <w:t>, however,</w:t>
      </w:r>
      <w:r w:rsidRPr="18832B83">
        <w:rPr>
          <w:rFonts w:ascii="Cambria" w:eastAsia="Calibri" w:hAnsi="Cambria" w:cs="Times New Roman"/>
          <w:sz w:val="24"/>
          <w:szCs w:val="24"/>
        </w:rPr>
        <w:t xml:space="preserve"> that </w:t>
      </w:r>
      <w:r w:rsidR="2A3BCB45" w:rsidRPr="18832B83">
        <w:rPr>
          <w:rFonts w:ascii="Cambria" w:eastAsia="Calibri" w:hAnsi="Cambria" w:cs="Times New Roman"/>
          <w:sz w:val="24"/>
          <w:szCs w:val="24"/>
        </w:rPr>
        <w:t>t</w:t>
      </w:r>
      <w:r w:rsidRPr="18832B83">
        <w:rPr>
          <w:rFonts w:ascii="Cambria" w:eastAsia="Calibri" w:hAnsi="Cambria" w:cs="Times New Roman"/>
          <w:sz w:val="24"/>
          <w:szCs w:val="24"/>
        </w:rPr>
        <w:t xml:space="preserve">he CTQ is </w:t>
      </w:r>
      <w:r w:rsidR="2A3BCB45" w:rsidRPr="18832B83">
        <w:rPr>
          <w:rFonts w:ascii="Cambria" w:eastAsia="Calibri" w:hAnsi="Cambria" w:cs="Times New Roman"/>
          <w:sz w:val="24"/>
          <w:szCs w:val="24"/>
        </w:rPr>
        <w:t xml:space="preserve">a </w:t>
      </w:r>
      <w:r w:rsidRPr="18832B83">
        <w:rPr>
          <w:rFonts w:ascii="Cambria" w:eastAsia="Calibri" w:hAnsi="Cambria" w:cs="Times New Roman"/>
          <w:sz w:val="24"/>
          <w:szCs w:val="24"/>
        </w:rPr>
        <w:t xml:space="preserve">longer </w:t>
      </w:r>
      <w:r w:rsidR="2A3BCB45" w:rsidRPr="18832B83">
        <w:rPr>
          <w:rFonts w:ascii="Cambria" w:eastAsia="Calibri" w:hAnsi="Cambria" w:cs="Times New Roman"/>
          <w:sz w:val="24"/>
          <w:szCs w:val="24"/>
        </w:rPr>
        <w:t xml:space="preserve">assessment </w:t>
      </w:r>
      <w:r w:rsidRPr="18832B83">
        <w:rPr>
          <w:rFonts w:ascii="Cambria" w:eastAsia="Calibri" w:hAnsi="Cambria" w:cs="Times New Roman"/>
          <w:sz w:val="24"/>
          <w:szCs w:val="24"/>
        </w:rPr>
        <w:t xml:space="preserve">(28 item; 3 of which to account for </w:t>
      </w:r>
      <w:r w:rsidR="55DAA458" w:rsidRPr="18832B83">
        <w:rPr>
          <w:rFonts w:ascii="Cambria" w:eastAsia="Calibri" w:hAnsi="Cambria" w:cs="Times New Roman"/>
          <w:sz w:val="24"/>
          <w:szCs w:val="24"/>
        </w:rPr>
        <w:t xml:space="preserve">the commonly </w:t>
      </w:r>
      <w:r w:rsidRPr="18832B83">
        <w:rPr>
          <w:rFonts w:ascii="Cambria" w:eastAsia="Calibri" w:hAnsi="Cambria" w:cs="Times New Roman"/>
          <w:sz w:val="24"/>
          <w:szCs w:val="24"/>
        </w:rPr>
        <w:t xml:space="preserve">underreported </w:t>
      </w:r>
      <w:r w:rsidR="55DAA458" w:rsidRPr="18832B83">
        <w:rPr>
          <w:rFonts w:ascii="Cambria" w:eastAsia="Calibri" w:hAnsi="Cambria" w:cs="Times New Roman"/>
          <w:sz w:val="24"/>
          <w:szCs w:val="24"/>
        </w:rPr>
        <w:t>aspect of “</w:t>
      </w:r>
      <w:r w:rsidRPr="18832B83">
        <w:rPr>
          <w:rFonts w:ascii="Cambria" w:eastAsia="Calibri" w:hAnsi="Cambria" w:cs="Times New Roman"/>
          <w:sz w:val="24"/>
          <w:szCs w:val="24"/>
        </w:rPr>
        <w:t>maltreatment</w:t>
      </w:r>
      <w:r w:rsidR="55DAA458" w:rsidRPr="18832B83">
        <w:rPr>
          <w:rFonts w:ascii="Cambria" w:eastAsia="Calibri" w:hAnsi="Cambria" w:cs="Times New Roman"/>
          <w:sz w:val="24"/>
          <w:szCs w:val="24"/>
        </w:rPr>
        <w:t>”</w:t>
      </w:r>
      <w:r w:rsidRPr="18832B83">
        <w:rPr>
          <w:rFonts w:ascii="Cambria" w:eastAsia="Calibri" w:hAnsi="Cambria" w:cs="Times New Roman"/>
          <w:sz w:val="24"/>
          <w:szCs w:val="24"/>
        </w:rPr>
        <w:t>) and more detailed than the ACE (10</w:t>
      </w:r>
      <w:r w:rsidR="55DAA458" w:rsidRPr="18832B83">
        <w:rPr>
          <w:rFonts w:ascii="Cambria" w:eastAsia="Calibri" w:hAnsi="Cambria" w:cs="Times New Roman"/>
          <w:sz w:val="24"/>
          <w:szCs w:val="24"/>
        </w:rPr>
        <w:t xml:space="preserve"> questions</w:t>
      </w:r>
      <w:r w:rsidRPr="18832B83">
        <w:rPr>
          <w:rFonts w:ascii="Cambria" w:eastAsia="Calibri" w:hAnsi="Cambria" w:cs="Times New Roman"/>
          <w:sz w:val="24"/>
          <w:szCs w:val="24"/>
        </w:rPr>
        <w:t xml:space="preserve">), and it assesses the frequency of occurrences. </w:t>
      </w:r>
      <w:r w:rsidR="2A3BCB45" w:rsidRPr="18832B83">
        <w:rPr>
          <w:rFonts w:ascii="Cambria" w:eastAsia="Calibri" w:hAnsi="Cambria" w:cs="Times New Roman"/>
          <w:sz w:val="24"/>
          <w:szCs w:val="24"/>
        </w:rPr>
        <w:t>D</w:t>
      </w:r>
      <w:r w:rsidRPr="18832B83">
        <w:rPr>
          <w:rFonts w:ascii="Cambria" w:eastAsia="Calibri" w:hAnsi="Cambria" w:cs="Times New Roman"/>
          <w:sz w:val="24"/>
          <w:szCs w:val="24"/>
        </w:rPr>
        <w:t>ue to this greater detail, research ethics committees may less commonly approve its use, especially for studies with sensitive populations, making its availability in these larger datasets even more valuable.</w:t>
      </w:r>
      <w:r w:rsidR="2A3BCB45" w:rsidRPr="18832B83">
        <w:rPr>
          <w:rFonts w:ascii="Cambria" w:eastAsia="Calibri" w:hAnsi="Cambria" w:cs="Times New Roman"/>
          <w:sz w:val="24"/>
          <w:szCs w:val="24"/>
        </w:rPr>
        <w:t xml:space="preserve"> For our study, we felt this </w:t>
      </w:r>
      <w:r w:rsidR="55DAA458" w:rsidRPr="18832B83">
        <w:rPr>
          <w:rFonts w:ascii="Cambria" w:eastAsia="Calibri" w:hAnsi="Cambria" w:cs="Times New Roman"/>
          <w:sz w:val="24"/>
          <w:szCs w:val="24"/>
        </w:rPr>
        <w:t xml:space="preserve">reasoning was </w:t>
      </w:r>
      <w:r w:rsidR="2A3BCB45" w:rsidRPr="18832B83">
        <w:rPr>
          <w:rFonts w:ascii="Cambria" w:eastAsia="Calibri" w:hAnsi="Cambria" w:cs="Times New Roman"/>
          <w:sz w:val="24"/>
          <w:szCs w:val="24"/>
        </w:rPr>
        <w:t>sufficient to justify the discrepancies in using consistent trauma terminology throughout</w:t>
      </w:r>
      <w:r w:rsidR="55DAA458" w:rsidRPr="18832B83">
        <w:rPr>
          <w:rFonts w:ascii="Cambria" w:eastAsia="Calibri" w:hAnsi="Cambria" w:cs="Times New Roman"/>
          <w:sz w:val="24"/>
          <w:szCs w:val="24"/>
        </w:rPr>
        <w:t xml:space="preserve">. </w:t>
      </w:r>
    </w:p>
    <w:bookmarkEnd w:id="18"/>
    <w:p w14:paraId="5564CEBF"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b/>
          <w:bCs/>
          <w:sz w:val="24"/>
          <w:szCs w:val="24"/>
        </w:rPr>
        <w:br w:type="page"/>
      </w:r>
    </w:p>
    <w:p w14:paraId="175C64E2" w14:textId="77777777" w:rsidR="002D1216" w:rsidRPr="00CD2F5C" w:rsidRDefault="002D1216" w:rsidP="002B0F75">
      <w:pPr>
        <w:spacing w:line="360" w:lineRule="auto"/>
        <w:rPr>
          <w:rFonts w:ascii="Cambria" w:eastAsia="Calibri" w:hAnsi="Cambria" w:cs="Times New Roman"/>
          <w:b/>
          <w:bCs/>
          <w:sz w:val="24"/>
          <w:szCs w:val="24"/>
        </w:rPr>
      </w:pPr>
      <w:r w:rsidRPr="00CD2F5C">
        <w:rPr>
          <w:rFonts w:ascii="Cambria" w:eastAsia="Calibri" w:hAnsi="Cambria" w:cs="Times New Roman"/>
          <w:b/>
          <w:bCs/>
          <w:sz w:val="24"/>
          <w:szCs w:val="24"/>
        </w:rPr>
        <w:lastRenderedPageBreak/>
        <w:t>Chapter 1 References</w:t>
      </w:r>
    </w:p>
    <w:p w14:paraId="4E96F05E"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Barnett K., Mercer S.W., Norbury M., Watt G., Wyke S., Guthrie B. Epidemiology of multimorbidity and implications for health care, research, and medical education: a cross-sectional study. </w:t>
      </w:r>
      <w:r w:rsidRPr="00CD2F5C">
        <w:rPr>
          <w:rFonts w:ascii="Cambria" w:eastAsia="Calibri" w:hAnsi="Cambria" w:cs="Times New Roman"/>
          <w:i/>
          <w:iCs/>
          <w:sz w:val="24"/>
          <w:szCs w:val="24"/>
        </w:rPr>
        <w:t>Lancet. </w:t>
      </w:r>
      <w:proofErr w:type="gramStart"/>
      <w:r w:rsidRPr="00CD2F5C">
        <w:rPr>
          <w:rFonts w:ascii="Cambria" w:eastAsia="Calibri" w:hAnsi="Cambria" w:cs="Times New Roman"/>
          <w:sz w:val="24"/>
          <w:szCs w:val="24"/>
        </w:rPr>
        <w:t>2012;380:37</w:t>
      </w:r>
      <w:proofErr w:type="gramEnd"/>
      <w:r w:rsidRPr="00CD2F5C">
        <w:rPr>
          <w:rFonts w:ascii="Cambria" w:eastAsia="Calibri" w:hAnsi="Cambria" w:cs="Times New Roman"/>
          <w:sz w:val="24"/>
          <w:szCs w:val="24"/>
        </w:rPr>
        <w:t>–43.</w:t>
      </w:r>
    </w:p>
    <w:p w14:paraId="0F901DD1"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t>Bhui</w:t>
      </w:r>
      <w:proofErr w:type="spellEnd"/>
      <w:r w:rsidRPr="00CD2F5C">
        <w:rPr>
          <w:rFonts w:ascii="Cambria" w:eastAsia="Calibri" w:hAnsi="Cambria" w:cs="Times New Roman"/>
          <w:sz w:val="24"/>
          <w:szCs w:val="24"/>
        </w:rPr>
        <w:t xml:space="preserve"> K, Dinos S, Galant-</w:t>
      </w:r>
      <w:proofErr w:type="spellStart"/>
      <w:r w:rsidRPr="00CD2F5C">
        <w:rPr>
          <w:rFonts w:ascii="Cambria" w:eastAsia="Calibri" w:hAnsi="Cambria" w:cs="Times New Roman"/>
          <w:sz w:val="24"/>
          <w:szCs w:val="24"/>
        </w:rPr>
        <w:t>Miecznikowska</w:t>
      </w:r>
      <w:proofErr w:type="spellEnd"/>
      <w:r w:rsidRPr="00CD2F5C">
        <w:rPr>
          <w:rFonts w:ascii="Cambria" w:eastAsia="Calibri" w:hAnsi="Cambria" w:cs="Times New Roman"/>
          <w:sz w:val="24"/>
          <w:szCs w:val="24"/>
        </w:rPr>
        <w:t xml:space="preserve"> M, de Jongh B, Stansfeld S. Perceptions of work stress causes and effective interventions in employees working in public, private and non-governmental organisations: a qualitative study. </w:t>
      </w:r>
      <w:proofErr w:type="spellStart"/>
      <w:r w:rsidRPr="00CD2F5C">
        <w:rPr>
          <w:rFonts w:ascii="Cambria" w:eastAsia="Calibri" w:hAnsi="Cambria" w:cs="Times New Roman"/>
          <w:i/>
          <w:iCs/>
          <w:sz w:val="24"/>
          <w:szCs w:val="24"/>
        </w:rPr>
        <w:t>BJPsych</w:t>
      </w:r>
      <w:proofErr w:type="spellEnd"/>
      <w:r w:rsidRPr="00CD2F5C">
        <w:rPr>
          <w:rFonts w:ascii="Cambria" w:eastAsia="Calibri" w:hAnsi="Cambria" w:cs="Times New Roman"/>
          <w:i/>
          <w:iCs/>
          <w:sz w:val="24"/>
          <w:szCs w:val="24"/>
        </w:rPr>
        <w:t xml:space="preserve"> Bull</w:t>
      </w:r>
      <w:r w:rsidRPr="00CD2F5C">
        <w:rPr>
          <w:rFonts w:ascii="Cambria" w:eastAsia="Calibri" w:hAnsi="Cambria" w:cs="Times New Roman"/>
          <w:sz w:val="24"/>
          <w:szCs w:val="24"/>
        </w:rPr>
        <w:t>. 2016;40(6):318-325. Doi:10.1192/pb.bp.115.050823.</w:t>
      </w:r>
    </w:p>
    <w:p w14:paraId="26D4A256"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Boersma K., Linton S. Expectancy, fear and pain in the prediction of chronic pain and disability: a prospective analysis. </w:t>
      </w:r>
      <w:proofErr w:type="spellStart"/>
      <w:r w:rsidRPr="00CD2F5C">
        <w:rPr>
          <w:rFonts w:ascii="Cambria" w:eastAsia="Calibri" w:hAnsi="Cambria" w:cs="Times New Roman"/>
          <w:i/>
          <w:iCs/>
          <w:sz w:val="24"/>
          <w:szCs w:val="24"/>
        </w:rPr>
        <w:t>Eur</w:t>
      </w:r>
      <w:proofErr w:type="spellEnd"/>
      <w:r w:rsidRPr="00CD2F5C">
        <w:rPr>
          <w:rFonts w:ascii="Cambria" w:eastAsia="Calibri" w:hAnsi="Cambria" w:cs="Times New Roman"/>
          <w:i/>
          <w:iCs/>
          <w:sz w:val="24"/>
          <w:szCs w:val="24"/>
        </w:rPr>
        <w:t xml:space="preserve"> J Pain. </w:t>
      </w:r>
      <w:proofErr w:type="gramStart"/>
      <w:r w:rsidRPr="00CD2F5C">
        <w:rPr>
          <w:rFonts w:ascii="Cambria" w:eastAsia="Calibri" w:hAnsi="Cambria" w:cs="Times New Roman"/>
          <w:sz w:val="24"/>
          <w:szCs w:val="24"/>
        </w:rPr>
        <w:t>2006;10:551</w:t>
      </w:r>
      <w:proofErr w:type="gramEnd"/>
      <w:r w:rsidRPr="00CD2F5C">
        <w:rPr>
          <w:rFonts w:ascii="Cambria" w:eastAsia="Calibri" w:hAnsi="Cambria" w:cs="Times New Roman"/>
          <w:sz w:val="24"/>
          <w:szCs w:val="24"/>
        </w:rPr>
        <w:t>–557.</w:t>
      </w:r>
    </w:p>
    <w:p w14:paraId="466474B0"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Breivik H., Collett B., </w:t>
      </w:r>
      <w:proofErr w:type="spellStart"/>
      <w:r w:rsidRPr="00CD2F5C">
        <w:rPr>
          <w:rFonts w:ascii="Cambria" w:eastAsia="Calibri" w:hAnsi="Cambria" w:cs="Times New Roman"/>
          <w:sz w:val="24"/>
          <w:szCs w:val="24"/>
        </w:rPr>
        <w:t>Ventafridda</w:t>
      </w:r>
      <w:proofErr w:type="spellEnd"/>
      <w:r w:rsidRPr="00CD2F5C">
        <w:rPr>
          <w:rFonts w:ascii="Cambria" w:eastAsia="Calibri" w:hAnsi="Cambria" w:cs="Times New Roman"/>
          <w:sz w:val="24"/>
          <w:szCs w:val="24"/>
        </w:rPr>
        <w:t xml:space="preserve"> V., Cohen R., Gallacher D. Survey of chronic pain in Europe: prevalence, impact on daily life, and treatment. </w:t>
      </w:r>
      <w:proofErr w:type="spellStart"/>
      <w:r w:rsidRPr="00CD2F5C">
        <w:rPr>
          <w:rFonts w:ascii="Cambria" w:eastAsia="Calibri" w:hAnsi="Cambria" w:cs="Times New Roman"/>
          <w:i/>
          <w:iCs/>
          <w:sz w:val="24"/>
          <w:szCs w:val="24"/>
        </w:rPr>
        <w:t>Eur</w:t>
      </w:r>
      <w:proofErr w:type="spellEnd"/>
      <w:r w:rsidRPr="00CD2F5C">
        <w:rPr>
          <w:rFonts w:ascii="Cambria" w:eastAsia="Calibri" w:hAnsi="Cambria" w:cs="Times New Roman"/>
          <w:i/>
          <w:iCs/>
          <w:sz w:val="24"/>
          <w:szCs w:val="24"/>
        </w:rPr>
        <w:t xml:space="preserve"> J Pain. </w:t>
      </w:r>
      <w:proofErr w:type="gramStart"/>
      <w:r w:rsidRPr="00CD2F5C">
        <w:rPr>
          <w:rFonts w:ascii="Cambria" w:eastAsia="Calibri" w:hAnsi="Cambria" w:cs="Times New Roman"/>
          <w:sz w:val="24"/>
          <w:szCs w:val="24"/>
        </w:rPr>
        <w:t>2006;10:287</w:t>
      </w:r>
      <w:proofErr w:type="gramEnd"/>
      <w:r w:rsidRPr="00CD2F5C">
        <w:rPr>
          <w:rFonts w:ascii="Cambria" w:eastAsia="Calibri" w:hAnsi="Cambria" w:cs="Times New Roman"/>
          <w:sz w:val="24"/>
          <w:szCs w:val="24"/>
        </w:rPr>
        <w:t>–333.</w:t>
      </w:r>
    </w:p>
    <w:p w14:paraId="16DD6DAA"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Bremner JD. Traumatic stress: effects on the brain. </w:t>
      </w:r>
      <w:r w:rsidRPr="00CD2F5C">
        <w:rPr>
          <w:rFonts w:ascii="Cambria" w:eastAsia="Calibri" w:hAnsi="Cambria" w:cs="Times New Roman"/>
          <w:i/>
          <w:iCs/>
          <w:sz w:val="24"/>
          <w:szCs w:val="24"/>
        </w:rPr>
        <w:t xml:space="preserve">Dialogues Clin </w:t>
      </w:r>
      <w:proofErr w:type="spellStart"/>
      <w:r w:rsidRPr="00CD2F5C">
        <w:rPr>
          <w:rFonts w:ascii="Cambria" w:eastAsia="Calibri" w:hAnsi="Cambria" w:cs="Times New Roman"/>
          <w:i/>
          <w:iCs/>
          <w:sz w:val="24"/>
          <w:szCs w:val="24"/>
        </w:rPr>
        <w:t>Neurosci</w:t>
      </w:r>
      <w:proofErr w:type="spellEnd"/>
      <w:r w:rsidRPr="00CD2F5C">
        <w:rPr>
          <w:rFonts w:ascii="Cambria" w:eastAsia="Calibri" w:hAnsi="Cambria" w:cs="Times New Roman"/>
          <w:sz w:val="24"/>
          <w:szCs w:val="24"/>
        </w:rPr>
        <w:t>. 2006;8(4):445-461. Doi:10.31887/DCNS.2006.8.4/</w:t>
      </w:r>
      <w:proofErr w:type="spellStart"/>
      <w:r w:rsidRPr="00CD2F5C">
        <w:rPr>
          <w:rFonts w:ascii="Cambria" w:eastAsia="Calibri" w:hAnsi="Cambria" w:cs="Times New Roman"/>
          <w:sz w:val="24"/>
          <w:szCs w:val="24"/>
        </w:rPr>
        <w:t>jbremner</w:t>
      </w:r>
      <w:proofErr w:type="spellEnd"/>
    </w:p>
    <w:p w14:paraId="47C4D18C"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Brown, R. C., Plener, P. L., </w:t>
      </w:r>
      <w:proofErr w:type="spellStart"/>
      <w:r w:rsidRPr="00CD2F5C">
        <w:rPr>
          <w:rFonts w:ascii="Cambria" w:eastAsia="Calibri" w:hAnsi="Cambria" w:cs="Times New Roman"/>
          <w:sz w:val="24"/>
          <w:szCs w:val="24"/>
        </w:rPr>
        <w:t>Braehler</w:t>
      </w:r>
      <w:proofErr w:type="spellEnd"/>
      <w:r w:rsidRPr="00CD2F5C">
        <w:rPr>
          <w:rFonts w:ascii="Cambria" w:eastAsia="Calibri" w:hAnsi="Cambria" w:cs="Times New Roman"/>
          <w:sz w:val="24"/>
          <w:szCs w:val="24"/>
        </w:rPr>
        <w:t xml:space="preserve">, E., Fegert, J. M., &amp; Huber‐Lang, M. (2018). Associations of adverse childhood experiences and bullying on physical pain in the general population of Germany. </w:t>
      </w:r>
      <w:r w:rsidRPr="00CD2F5C">
        <w:rPr>
          <w:rFonts w:ascii="Cambria" w:eastAsia="Calibri" w:hAnsi="Cambria" w:cs="Times New Roman"/>
          <w:i/>
          <w:iCs/>
          <w:sz w:val="24"/>
          <w:szCs w:val="24"/>
        </w:rPr>
        <w:t>Journal of pain research</w:t>
      </w:r>
      <w:r w:rsidRPr="00CD2F5C">
        <w:rPr>
          <w:rFonts w:ascii="Cambria" w:eastAsia="Calibri" w:hAnsi="Cambria" w:cs="Times New Roman"/>
          <w:sz w:val="24"/>
          <w:szCs w:val="24"/>
        </w:rPr>
        <w:t xml:space="preserve">, </w:t>
      </w:r>
      <w:r w:rsidRPr="00CD2F5C">
        <w:rPr>
          <w:rFonts w:ascii="Cambria" w:eastAsia="Calibri" w:hAnsi="Cambria" w:cs="Times New Roman"/>
          <w:i/>
          <w:iCs/>
          <w:sz w:val="24"/>
          <w:szCs w:val="24"/>
        </w:rPr>
        <w:t>11</w:t>
      </w:r>
      <w:r w:rsidRPr="00CD2F5C">
        <w:rPr>
          <w:rFonts w:ascii="Cambria" w:eastAsia="Calibri" w:hAnsi="Cambria" w:cs="Times New Roman"/>
          <w:sz w:val="24"/>
          <w:szCs w:val="24"/>
        </w:rPr>
        <w:t xml:space="preserve">, 3099–3108. Doi:10.2147/JPR.S169135 </w:t>
      </w:r>
    </w:p>
    <w:p w14:paraId="64A7C9F0"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Capobianco, A., Cottone, L., </w:t>
      </w:r>
      <w:proofErr w:type="spellStart"/>
      <w:r w:rsidRPr="00CD2F5C">
        <w:rPr>
          <w:rFonts w:ascii="Cambria" w:eastAsia="Calibri" w:hAnsi="Cambria" w:cs="Times New Roman"/>
          <w:sz w:val="24"/>
          <w:szCs w:val="24"/>
        </w:rPr>
        <w:t>Monno</w:t>
      </w:r>
      <w:proofErr w:type="spellEnd"/>
      <w:r w:rsidRPr="00CD2F5C">
        <w:rPr>
          <w:rFonts w:ascii="Cambria" w:eastAsia="Calibri" w:hAnsi="Cambria" w:cs="Times New Roman"/>
          <w:sz w:val="24"/>
          <w:szCs w:val="24"/>
        </w:rPr>
        <w:t>, A., Manfredi, A. A. and Rovere‐</w:t>
      </w:r>
      <w:proofErr w:type="spellStart"/>
      <w:r w:rsidRPr="00CD2F5C">
        <w:rPr>
          <w:rFonts w:ascii="Cambria" w:eastAsia="Calibri" w:hAnsi="Cambria" w:cs="Times New Roman"/>
          <w:sz w:val="24"/>
          <w:szCs w:val="24"/>
        </w:rPr>
        <w:t>Querini</w:t>
      </w:r>
      <w:proofErr w:type="spellEnd"/>
      <w:r w:rsidRPr="00CD2F5C">
        <w:rPr>
          <w:rFonts w:ascii="Cambria" w:eastAsia="Calibri" w:hAnsi="Cambria" w:cs="Times New Roman"/>
          <w:sz w:val="24"/>
          <w:szCs w:val="24"/>
        </w:rPr>
        <w:t>, P. (2017), The peritoneum: healing, immunity, and diseases</w:t>
      </w:r>
      <w:r w:rsidRPr="00CD2F5C">
        <w:rPr>
          <w:rFonts w:ascii="Cambria" w:eastAsia="Calibri" w:hAnsi="Cambria" w:cs="Times New Roman"/>
          <w:i/>
          <w:iCs/>
          <w:sz w:val="24"/>
          <w:szCs w:val="24"/>
        </w:rPr>
        <w:t>. Journal of Pathology</w:t>
      </w:r>
      <w:r w:rsidRPr="00CD2F5C">
        <w:rPr>
          <w:rFonts w:ascii="Cambria" w:eastAsia="Calibri" w:hAnsi="Cambria" w:cs="Times New Roman"/>
          <w:sz w:val="24"/>
          <w:szCs w:val="24"/>
        </w:rPr>
        <w:t xml:space="preserve">, 243: 137‐147. Doi:10.1002/path.4942 </w:t>
      </w:r>
    </w:p>
    <w:p w14:paraId="13FAF37A"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Centres for Disease Control and Prevention (CDC). Adverse Childhood Experiences (ACEs). (2022). </w:t>
      </w:r>
      <w:hyperlink r:id="rId20" w:history="1">
        <w:r w:rsidRPr="00CD2F5C">
          <w:rPr>
            <w:rFonts w:ascii="Cambria" w:eastAsia="Calibri" w:hAnsi="Cambria" w:cs="Times New Roman"/>
            <w:color w:val="0563C1"/>
            <w:sz w:val="24"/>
            <w:szCs w:val="24"/>
            <w:u w:val="single"/>
          </w:rPr>
          <w:t>https://www.cdc.gov/violenceprevention/aces/index.html</w:t>
        </w:r>
      </w:hyperlink>
      <w:r w:rsidRPr="00CD2F5C">
        <w:rPr>
          <w:rFonts w:ascii="Cambria" w:eastAsia="Calibri" w:hAnsi="Cambria" w:cs="Times New Roman"/>
          <w:sz w:val="24"/>
          <w:szCs w:val="24"/>
        </w:rPr>
        <w:t>. Accessed 21 April 2022.</w:t>
      </w:r>
    </w:p>
    <w:p w14:paraId="1D5B4964"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Chan AW, Bilger E, Griffin S, </w:t>
      </w:r>
      <w:proofErr w:type="spellStart"/>
      <w:r w:rsidRPr="00CD2F5C">
        <w:rPr>
          <w:rFonts w:ascii="Cambria" w:eastAsia="Calibri" w:hAnsi="Cambria" w:cs="Times New Roman"/>
          <w:sz w:val="24"/>
          <w:szCs w:val="24"/>
        </w:rPr>
        <w:t>Elkis</w:t>
      </w:r>
      <w:proofErr w:type="spellEnd"/>
      <w:r w:rsidRPr="00CD2F5C">
        <w:rPr>
          <w:rFonts w:ascii="Cambria" w:eastAsia="Calibri" w:hAnsi="Cambria" w:cs="Times New Roman"/>
          <w:sz w:val="24"/>
          <w:szCs w:val="24"/>
        </w:rPr>
        <w:t xml:space="preserve"> V, Weeks S, Hussey-Anderson L, </w:t>
      </w:r>
      <w:proofErr w:type="spellStart"/>
      <w:r w:rsidRPr="00CD2F5C">
        <w:rPr>
          <w:rFonts w:ascii="Cambria" w:eastAsia="Calibri" w:hAnsi="Cambria" w:cs="Times New Roman"/>
          <w:sz w:val="24"/>
          <w:szCs w:val="24"/>
        </w:rPr>
        <w:t>Pasquina</w:t>
      </w:r>
      <w:proofErr w:type="spellEnd"/>
      <w:r w:rsidRPr="00CD2F5C">
        <w:rPr>
          <w:rFonts w:ascii="Cambria" w:eastAsia="Calibri" w:hAnsi="Cambria" w:cs="Times New Roman"/>
          <w:sz w:val="24"/>
          <w:szCs w:val="24"/>
        </w:rPr>
        <w:t xml:space="preserve"> PF, Tsao JW, Baker CI. (2019). Visual responsiveness in sensorimotor cortex is increased following amputation and reduced after mirror therapy. </w:t>
      </w:r>
      <w:r w:rsidRPr="00CD2F5C">
        <w:rPr>
          <w:rFonts w:ascii="Cambria" w:eastAsia="Calibri" w:hAnsi="Cambria" w:cs="Times New Roman"/>
          <w:i/>
          <w:iCs/>
          <w:sz w:val="24"/>
          <w:szCs w:val="24"/>
        </w:rPr>
        <w:t>Neuroimage Clin</w:t>
      </w:r>
      <w:r w:rsidRPr="00CD2F5C">
        <w:rPr>
          <w:rFonts w:ascii="Cambria" w:eastAsia="Calibri" w:hAnsi="Cambria" w:cs="Times New Roman"/>
          <w:sz w:val="24"/>
          <w:szCs w:val="24"/>
        </w:rPr>
        <w:t>. 23:101882. Doi: 10.1016/j.nicl.2019.101882. </w:t>
      </w:r>
    </w:p>
    <w:p w14:paraId="521B5266"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lastRenderedPageBreak/>
        <w:t>Crocq</w:t>
      </w:r>
      <w:proofErr w:type="spellEnd"/>
      <w:r w:rsidRPr="00CD2F5C">
        <w:rPr>
          <w:rFonts w:ascii="Cambria" w:eastAsia="Calibri" w:hAnsi="Cambria" w:cs="Times New Roman"/>
          <w:sz w:val="24"/>
          <w:szCs w:val="24"/>
        </w:rPr>
        <w:t xml:space="preserve"> M. A. (2015). A history of anxiety: from Hippocrates to DSM. </w:t>
      </w:r>
      <w:r w:rsidRPr="00CD2F5C">
        <w:rPr>
          <w:rFonts w:ascii="Cambria" w:eastAsia="Calibri" w:hAnsi="Cambria" w:cs="Times New Roman"/>
          <w:i/>
          <w:iCs/>
          <w:sz w:val="24"/>
          <w:szCs w:val="24"/>
        </w:rPr>
        <w:t>Dialogues in clinical neuroscience,</w:t>
      </w:r>
      <w:r w:rsidRPr="00CD2F5C">
        <w:rPr>
          <w:rFonts w:ascii="Cambria" w:eastAsia="Calibri" w:hAnsi="Cambria" w:cs="Times New Roman"/>
          <w:sz w:val="24"/>
          <w:szCs w:val="24"/>
        </w:rPr>
        <w:t xml:space="preserve"> 17(3), 319–325. </w:t>
      </w:r>
    </w:p>
    <w:p w14:paraId="7D35016C"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Dalechek D., Whittaker A., </w:t>
      </w:r>
      <w:proofErr w:type="spellStart"/>
      <w:r w:rsidRPr="00CD2F5C">
        <w:rPr>
          <w:rFonts w:ascii="Cambria" w:eastAsia="Calibri" w:hAnsi="Cambria" w:cs="Times New Roman"/>
          <w:sz w:val="24"/>
          <w:szCs w:val="24"/>
        </w:rPr>
        <w:t>Caes</w:t>
      </w:r>
      <w:proofErr w:type="spellEnd"/>
      <w:r w:rsidRPr="00CD2F5C">
        <w:rPr>
          <w:rFonts w:ascii="Cambria" w:eastAsia="Calibri" w:hAnsi="Cambria" w:cs="Times New Roman"/>
          <w:sz w:val="24"/>
          <w:szCs w:val="24"/>
        </w:rPr>
        <w:t xml:space="preserve"> L., McIntosh G. Anxiety, history of childhood adversity, and experiencing chronic pain in adulthood: a systematic literature review. </w:t>
      </w:r>
      <w:bookmarkStart w:id="19" w:name="_Hlk101504330"/>
      <w:r w:rsidRPr="00CD2F5C">
        <w:rPr>
          <w:rFonts w:ascii="Cambria" w:eastAsia="Calibri" w:hAnsi="Cambria" w:cs="Times New Roman"/>
          <w:sz w:val="24"/>
          <w:szCs w:val="24"/>
        </w:rPr>
        <w:t>PROSPERO (2021) CRD42021257706</w:t>
      </w:r>
      <w:bookmarkEnd w:id="19"/>
      <w:r w:rsidRPr="00CD2F5C">
        <w:rPr>
          <w:rFonts w:ascii="Cambria" w:eastAsia="Calibri" w:hAnsi="Cambria" w:cs="Times New Roman"/>
          <w:sz w:val="24"/>
          <w:szCs w:val="24"/>
        </w:rPr>
        <w:t>; Available from: </w:t>
      </w:r>
      <w:hyperlink r:id="rId21" w:tgtFrame="_self" w:history="1">
        <w:r w:rsidRPr="00CD2F5C">
          <w:rPr>
            <w:rFonts w:ascii="Cambria" w:eastAsia="Calibri" w:hAnsi="Cambria" w:cs="Times New Roman"/>
            <w:color w:val="0563C1"/>
            <w:sz w:val="24"/>
            <w:szCs w:val="24"/>
            <w:u w:val="single"/>
          </w:rPr>
          <w:t>https://www.crd.york.ac.uk/prospero/display_record.php?ID=CRD42021257706</w:t>
        </w:r>
      </w:hyperlink>
    </w:p>
    <w:p w14:paraId="75847B6D" w14:textId="77777777" w:rsidR="002D1216" w:rsidRPr="00CD2F5C" w:rsidRDefault="002D1216" w:rsidP="002B0F75">
      <w:pPr>
        <w:spacing w:line="360" w:lineRule="auto"/>
        <w:rPr>
          <w:rFonts w:ascii="Cambria" w:eastAsia="Calibri" w:hAnsi="Cambria" w:cs="Times New Roman"/>
          <w:i/>
          <w:iCs/>
          <w:sz w:val="24"/>
          <w:szCs w:val="24"/>
        </w:rPr>
      </w:pPr>
      <w:r w:rsidRPr="00CD2F5C">
        <w:rPr>
          <w:rFonts w:ascii="Cambria" w:eastAsia="Calibri" w:hAnsi="Cambria" w:cs="Times New Roman"/>
          <w:sz w:val="24"/>
          <w:szCs w:val="24"/>
        </w:rPr>
        <w:t>Diagnostic and Statistical Manual of Mental Disorders (2013). 5</w:t>
      </w:r>
      <w:r w:rsidRPr="00CD2F5C">
        <w:rPr>
          <w:rFonts w:ascii="Cambria" w:eastAsia="Calibri" w:hAnsi="Cambria" w:cs="Times New Roman"/>
          <w:sz w:val="24"/>
          <w:szCs w:val="24"/>
          <w:vertAlign w:val="superscript"/>
        </w:rPr>
        <w:t>th</w:t>
      </w:r>
      <w:r w:rsidRPr="00CD2F5C">
        <w:rPr>
          <w:rFonts w:ascii="Cambria" w:eastAsia="Calibri" w:hAnsi="Cambria" w:cs="Times New Roman"/>
          <w:sz w:val="24"/>
          <w:szCs w:val="24"/>
        </w:rPr>
        <w:t xml:space="preserve"> ed. Arlington, VA: </w:t>
      </w:r>
      <w:r w:rsidRPr="00CD2F5C">
        <w:rPr>
          <w:rFonts w:ascii="Cambria" w:eastAsia="Calibri" w:hAnsi="Cambria" w:cs="Times New Roman"/>
          <w:i/>
          <w:iCs/>
          <w:sz w:val="24"/>
          <w:szCs w:val="24"/>
        </w:rPr>
        <w:t xml:space="preserve">American Psychiatric Association. </w:t>
      </w:r>
    </w:p>
    <w:p w14:paraId="767FF3B7"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Dominick C., Blyth F., Nicholas M. Unpacking the burden: understanding the relationships between chronic pain and co-morbidity in the general population. </w:t>
      </w:r>
      <w:r w:rsidRPr="00CD2F5C">
        <w:rPr>
          <w:rFonts w:ascii="Cambria" w:eastAsia="Calibri" w:hAnsi="Cambria" w:cs="Times New Roman"/>
          <w:i/>
          <w:iCs/>
          <w:sz w:val="24"/>
          <w:szCs w:val="24"/>
        </w:rPr>
        <w:t>Pain. </w:t>
      </w:r>
      <w:r w:rsidRPr="00CD2F5C">
        <w:rPr>
          <w:rFonts w:ascii="Cambria" w:eastAsia="Calibri" w:hAnsi="Cambria" w:cs="Times New Roman"/>
          <w:sz w:val="24"/>
          <w:szCs w:val="24"/>
        </w:rPr>
        <w:t>2012; 153:292–304.</w:t>
      </w:r>
    </w:p>
    <w:p w14:paraId="25B59BB5" w14:textId="77777777" w:rsidR="002D1216"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Donaldson L. 2009. 150 years of the Annual Report of the Chief Medical Officer: On the state of public health 2008. Department of Health, Richmond House, 79 Whitehall, London SW1A 2NJ, UK. </w:t>
      </w:r>
    </w:p>
    <w:p w14:paraId="2BC39C62" w14:textId="613905EF" w:rsidR="00265F53" w:rsidRPr="00CD2F5C" w:rsidRDefault="00265F53" w:rsidP="002B0F75">
      <w:pPr>
        <w:spacing w:line="360" w:lineRule="auto"/>
        <w:rPr>
          <w:rFonts w:ascii="Cambria" w:eastAsia="Calibri" w:hAnsi="Cambria" w:cs="Times New Roman"/>
          <w:sz w:val="24"/>
          <w:szCs w:val="24"/>
        </w:rPr>
      </w:pPr>
      <w:r w:rsidRPr="00265F53">
        <w:rPr>
          <w:rFonts w:ascii="Cambria" w:eastAsia="Calibri" w:hAnsi="Cambria" w:cs="Times New Roman"/>
          <w:sz w:val="24"/>
          <w:szCs w:val="24"/>
        </w:rPr>
        <w:t xml:space="preserve">Dooley LN, Kuhlman KR, Robles TF, Eisenberger NI, Craske MG, Bower JE. The role of inflammation in core features of depression: Insights from paradigms using exogenously-induced inflammation. </w:t>
      </w:r>
      <w:proofErr w:type="spellStart"/>
      <w:r w:rsidRPr="004447E8">
        <w:rPr>
          <w:rFonts w:ascii="Cambria" w:eastAsia="Calibri" w:hAnsi="Cambria" w:cs="Times New Roman"/>
          <w:i/>
          <w:iCs/>
          <w:sz w:val="24"/>
          <w:szCs w:val="24"/>
        </w:rPr>
        <w:t>Neurosci</w:t>
      </w:r>
      <w:proofErr w:type="spellEnd"/>
      <w:r w:rsidRPr="004447E8">
        <w:rPr>
          <w:rFonts w:ascii="Cambria" w:eastAsia="Calibri" w:hAnsi="Cambria" w:cs="Times New Roman"/>
          <w:i/>
          <w:iCs/>
          <w:sz w:val="24"/>
          <w:szCs w:val="24"/>
        </w:rPr>
        <w:t xml:space="preserve"> </w:t>
      </w:r>
      <w:proofErr w:type="spellStart"/>
      <w:r w:rsidRPr="004447E8">
        <w:rPr>
          <w:rFonts w:ascii="Cambria" w:eastAsia="Calibri" w:hAnsi="Cambria" w:cs="Times New Roman"/>
          <w:i/>
          <w:iCs/>
          <w:sz w:val="24"/>
          <w:szCs w:val="24"/>
        </w:rPr>
        <w:t>Biobehav</w:t>
      </w:r>
      <w:proofErr w:type="spellEnd"/>
      <w:r w:rsidRPr="004447E8">
        <w:rPr>
          <w:rFonts w:ascii="Cambria" w:eastAsia="Calibri" w:hAnsi="Cambria" w:cs="Times New Roman"/>
          <w:i/>
          <w:iCs/>
          <w:sz w:val="24"/>
          <w:szCs w:val="24"/>
        </w:rPr>
        <w:t xml:space="preserve"> Rev</w:t>
      </w:r>
      <w:r w:rsidRPr="00265F53">
        <w:rPr>
          <w:rFonts w:ascii="Cambria" w:eastAsia="Calibri" w:hAnsi="Cambria" w:cs="Times New Roman"/>
          <w:sz w:val="24"/>
          <w:szCs w:val="24"/>
        </w:rPr>
        <w:t xml:space="preserve">. 2018 </w:t>
      </w:r>
      <w:proofErr w:type="gramStart"/>
      <w:r w:rsidRPr="00265F53">
        <w:rPr>
          <w:rFonts w:ascii="Cambria" w:eastAsia="Calibri" w:hAnsi="Cambria" w:cs="Times New Roman"/>
          <w:sz w:val="24"/>
          <w:szCs w:val="24"/>
        </w:rPr>
        <w:t>Nov;94:219</w:t>
      </w:r>
      <w:proofErr w:type="gramEnd"/>
      <w:r w:rsidRPr="00265F53">
        <w:rPr>
          <w:rFonts w:ascii="Cambria" w:eastAsia="Calibri" w:hAnsi="Cambria" w:cs="Times New Roman"/>
          <w:sz w:val="24"/>
          <w:szCs w:val="24"/>
        </w:rPr>
        <w:t xml:space="preserve">-237. </w:t>
      </w:r>
    </w:p>
    <w:p w14:paraId="43233BB5"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Dueñas M, Ojeda B, Salazar A, Mico JA, Failde I. A review of chronic pain impact on patients, their social environment and the health care system. </w:t>
      </w:r>
      <w:r w:rsidRPr="00CD2F5C">
        <w:rPr>
          <w:rFonts w:ascii="Cambria" w:eastAsia="Calibri" w:hAnsi="Cambria" w:cs="Times New Roman"/>
          <w:i/>
          <w:iCs/>
          <w:sz w:val="24"/>
          <w:szCs w:val="24"/>
        </w:rPr>
        <w:t>J Pain Res</w:t>
      </w:r>
      <w:r w:rsidRPr="00CD2F5C">
        <w:rPr>
          <w:rFonts w:ascii="Cambria" w:eastAsia="Calibri" w:hAnsi="Cambria" w:cs="Times New Roman"/>
          <w:sz w:val="24"/>
          <w:szCs w:val="24"/>
        </w:rPr>
        <w:t>. 2016; 9:457-467. Published 2016 Jun 28. Doi:10.2147/JPR.S105892</w:t>
      </w:r>
    </w:p>
    <w:p w14:paraId="39B65723"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Du, H. X., Chen, X. G., Zhang, L., Liu, Y., Zhan, C. S., Chen, J., … Liang, C. Z. (2019). Microglial activation and neurobiological alterations in experimental autoimmune prostatitis‐induced depressive‐like behaviour in mice. </w:t>
      </w:r>
      <w:r w:rsidRPr="00CD2F5C">
        <w:rPr>
          <w:rFonts w:ascii="Cambria" w:eastAsia="Calibri" w:hAnsi="Cambria" w:cs="Times New Roman"/>
          <w:i/>
          <w:iCs/>
          <w:sz w:val="24"/>
          <w:szCs w:val="24"/>
        </w:rPr>
        <w:t>Neuropsychiatric disease and treatment</w:t>
      </w:r>
      <w:r w:rsidRPr="00CD2F5C">
        <w:rPr>
          <w:rFonts w:ascii="Cambria" w:eastAsia="Calibri" w:hAnsi="Cambria" w:cs="Times New Roman"/>
          <w:sz w:val="24"/>
          <w:szCs w:val="24"/>
        </w:rPr>
        <w:t xml:space="preserve">, </w:t>
      </w:r>
      <w:r w:rsidRPr="00CD2F5C">
        <w:rPr>
          <w:rFonts w:ascii="Cambria" w:eastAsia="Calibri" w:hAnsi="Cambria" w:cs="Times New Roman"/>
          <w:i/>
          <w:iCs/>
          <w:sz w:val="24"/>
          <w:szCs w:val="24"/>
        </w:rPr>
        <w:t>15</w:t>
      </w:r>
      <w:r w:rsidRPr="00CD2F5C">
        <w:rPr>
          <w:rFonts w:ascii="Cambria" w:eastAsia="Calibri" w:hAnsi="Cambria" w:cs="Times New Roman"/>
          <w:sz w:val="24"/>
          <w:szCs w:val="24"/>
        </w:rPr>
        <w:t>, 2231–2245. Doi:10.2147/NDT.S211288.</w:t>
      </w:r>
    </w:p>
    <w:p w14:paraId="23399F07"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t>Dydyk</w:t>
      </w:r>
      <w:proofErr w:type="spellEnd"/>
      <w:r w:rsidRPr="00CD2F5C">
        <w:rPr>
          <w:rFonts w:ascii="Cambria" w:eastAsia="Calibri" w:hAnsi="Cambria" w:cs="Times New Roman"/>
          <w:sz w:val="24"/>
          <w:szCs w:val="24"/>
        </w:rPr>
        <w:t xml:space="preserve"> AM, Sizemore DC, Haddad LM, Lindsay L, Porter BR. </w:t>
      </w:r>
      <w:r w:rsidRPr="00CD2F5C">
        <w:rPr>
          <w:rFonts w:ascii="Cambria" w:eastAsia="Calibri" w:hAnsi="Cambria" w:cs="Times New Roman"/>
          <w:i/>
          <w:iCs/>
          <w:sz w:val="24"/>
          <w:szCs w:val="24"/>
        </w:rPr>
        <w:t>NP Safe Prescribing of Controlled Substances While Avoiding Drug Diversion</w:t>
      </w:r>
      <w:r w:rsidRPr="00CD2F5C">
        <w:rPr>
          <w:rFonts w:ascii="Cambria" w:eastAsia="Calibri" w:hAnsi="Cambria" w:cs="Times New Roman"/>
          <w:sz w:val="24"/>
          <w:szCs w:val="24"/>
        </w:rPr>
        <w:t xml:space="preserve">. </w:t>
      </w:r>
      <w:proofErr w:type="spellStart"/>
      <w:r w:rsidRPr="00CD2F5C">
        <w:rPr>
          <w:rFonts w:ascii="Cambria" w:eastAsia="Calibri" w:hAnsi="Cambria" w:cs="Times New Roman"/>
          <w:sz w:val="24"/>
          <w:szCs w:val="24"/>
        </w:rPr>
        <w:t>StatPearls</w:t>
      </w:r>
      <w:proofErr w:type="spellEnd"/>
      <w:r w:rsidRPr="00CD2F5C">
        <w:rPr>
          <w:rFonts w:ascii="Cambria" w:eastAsia="Calibri" w:hAnsi="Cambria" w:cs="Times New Roman"/>
          <w:sz w:val="24"/>
          <w:szCs w:val="24"/>
        </w:rPr>
        <w:t xml:space="preserve"> Publishing; 2020.</w:t>
      </w:r>
    </w:p>
    <w:p w14:paraId="749683B1"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lastRenderedPageBreak/>
        <w:t>Fatoye</w:t>
      </w:r>
      <w:proofErr w:type="spellEnd"/>
      <w:r w:rsidRPr="00CD2F5C">
        <w:rPr>
          <w:rFonts w:ascii="Cambria" w:eastAsia="Calibri" w:hAnsi="Cambria" w:cs="Times New Roman"/>
          <w:sz w:val="24"/>
          <w:szCs w:val="24"/>
        </w:rPr>
        <w:t xml:space="preserve"> F, </w:t>
      </w:r>
      <w:proofErr w:type="spellStart"/>
      <w:r w:rsidRPr="00CD2F5C">
        <w:rPr>
          <w:rFonts w:ascii="Cambria" w:eastAsia="Calibri" w:hAnsi="Cambria" w:cs="Times New Roman"/>
          <w:sz w:val="24"/>
          <w:szCs w:val="24"/>
        </w:rPr>
        <w:t>Gebrye</w:t>
      </w:r>
      <w:proofErr w:type="spellEnd"/>
      <w:r w:rsidRPr="00CD2F5C">
        <w:rPr>
          <w:rFonts w:ascii="Cambria" w:eastAsia="Calibri" w:hAnsi="Cambria" w:cs="Times New Roman"/>
          <w:sz w:val="24"/>
          <w:szCs w:val="24"/>
        </w:rPr>
        <w:t xml:space="preserve"> T, Ryan CG, </w:t>
      </w:r>
      <w:proofErr w:type="spellStart"/>
      <w:r w:rsidRPr="00CD2F5C">
        <w:rPr>
          <w:rFonts w:ascii="Cambria" w:eastAsia="Calibri" w:hAnsi="Cambria" w:cs="Times New Roman"/>
          <w:sz w:val="24"/>
          <w:szCs w:val="24"/>
        </w:rPr>
        <w:t>Useh</w:t>
      </w:r>
      <w:proofErr w:type="spellEnd"/>
      <w:r w:rsidRPr="00CD2F5C">
        <w:rPr>
          <w:rFonts w:ascii="Cambria" w:eastAsia="Calibri" w:hAnsi="Cambria" w:cs="Times New Roman"/>
          <w:sz w:val="24"/>
          <w:szCs w:val="24"/>
        </w:rPr>
        <w:t xml:space="preserve"> U, Mbada C. Global and regional estimates of clinical and economic burden of low back pain in high-income countries: a systematic review and meta-analysis. </w:t>
      </w:r>
      <w:r w:rsidRPr="00CD2F5C">
        <w:rPr>
          <w:rFonts w:ascii="Cambria" w:eastAsia="Calibri" w:hAnsi="Cambria" w:cs="Times New Roman"/>
          <w:i/>
          <w:iCs/>
          <w:sz w:val="24"/>
          <w:szCs w:val="24"/>
        </w:rPr>
        <w:t>Front Public Health</w:t>
      </w:r>
      <w:r w:rsidRPr="00CD2F5C">
        <w:rPr>
          <w:rFonts w:ascii="Cambria" w:eastAsia="Calibri" w:hAnsi="Cambria" w:cs="Times New Roman"/>
          <w:sz w:val="24"/>
          <w:szCs w:val="24"/>
        </w:rPr>
        <w:t xml:space="preserve">. 2023 Jun 9; 11:1098100. </w:t>
      </w:r>
      <w:proofErr w:type="spellStart"/>
      <w:r w:rsidRPr="00CD2F5C">
        <w:rPr>
          <w:rFonts w:ascii="Cambria" w:eastAsia="Calibri" w:hAnsi="Cambria" w:cs="Times New Roman"/>
          <w:sz w:val="24"/>
          <w:szCs w:val="24"/>
        </w:rPr>
        <w:t>doi</w:t>
      </w:r>
      <w:proofErr w:type="spellEnd"/>
      <w:r w:rsidRPr="00CD2F5C">
        <w:rPr>
          <w:rFonts w:ascii="Cambria" w:eastAsia="Calibri" w:hAnsi="Cambria" w:cs="Times New Roman"/>
          <w:sz w:val="24"/>
          <w:szCs w:val="24"/>
        </w:rPr>
        <w:t>: 10.3389/fpubh.2023.1098100.</w:t>
      </w:r>
    </w:p>
    <w:p w14:paraId="4D470753" w14:textId="77777777" w:rsidR="002D1216"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Fayaz A., Croft P., Langford R., Donaldson J., Jones G. Prevalence of chronic pain in the UK: a systematic review and meta-analysis of population studies. </w:t>
      </w:r>
      <w:r w:rsidRPr="00CD2F5C">
        <w:rPr>
          <w:rFonts w:ascii="Cambria" w:eastAsia="Calibri" w:hAnsi="Cambria" w:cs="Times New Roman"/>
          <w:i/>
          <w:iCs/>
          <w:sz w:val="24"/>
          <w:szCs w:val="24"/>
        </w:rPr>
        <w:t>BMJ Open. </w:t>
      </w:r>
      <w:r w:rsidRPr="00CD2F5C">
        <w:rPr>
          <w:rFonts w:ascii="Cambria" w:eastAsia="Calibri" w:hAnsi="Cambria" w:cs="Times New Roman"/>
          <w:sz w:val="24"/>
          <w:szCs w:val="24"/>
        </w:rPr>
        <w:t>2016;6.</w:t>
      </w:r>
    </w:p>
    <w:p w14:paraId="725F6BB8" w14:textId="1D91EF76" w:rsidR="00A56048" w:rsidRPr="00CD2F5C" w:rsidRDefault="00A56048" w:rsidP="002B0F75">
      <w:pPr>
        <w:spacing w:line="360" w:lineRule="auto"/>
        <w:rPr>
          <w:rFonts w:ascii="Cambria" w:eastAsia="Calibri" w:hAnsi="Cambria" w:cs="Times New Roman"/>
          <w:sz w:val="24"/>
          <w:szCs w:val="24"/>
        </w:rPr>
      </w:pPr>
      <w:proofErr w:type="spellStart"/>
      <w:r w:rsidRPr="00BB5033">
        <w:rPr>
          <w:rFonts w:ascii="Cambria" w:eastAsia="Calibri" w:hAnsi="Cambria" w:cs="Times New Roman"/>
          <w:sz w:val="24"/>
          <w:szCs w:val="24"/>
        </w:rPr>
        <w:t>Generaal</w:t>
      </w:r>
      <w:proofErr w:type="spellEnd"/>
      <w:r w:rsidRPr="00BB5033">
        <w:rPr>
          <w:rFonts w:ascii="Cambria" w:eastAsia="Calibri" w:hAnsi="Cambria" w:cs="Times New Roman"/>
          <w:sz w:val="24"/>
          <w:szCs w:val="24"/>
        </w:rPr>
        <w:t xml:space="preserve"> E, </w:t>
      </w:r>
      <w:proofErr w:type="spellStart"/>
      <w:r w:rsidRPr="00BB5033">
        <w:rPr>
          <w:rFonts w:ascii="Cambria" w:eastAsia="Calibri" w:hAnsi="Cambria" w:cs="Times New Roman"/>
          <w:sz w:val="24"/>
          <w:szCs w:val="24"/>
        </w:rPr>
        <w:t>Vogelzangs</w:t>
      </w:r>
      <w:proofErr w:type="spellEnd"/>
      <w:r w:rsidRPr="00BB5033">
        <w:rPr>
          <w:rFonts w:ascii="Cambria" w:eastAsia="Calibri" w:hAnsi="Cambria" w:cs="Times New Roman"/>
          <w:sz w:val="24"/>
          <w:szCs w:val="24"/>
        </w:rPr>
        <w:t xml:space="preserve"> N, Macfarlane GJ, Geenen R, Smit JH, </w:t>
      </w:r>
      <w:proofErr w:type="spellStart"/>
      <w:r w:rsidRPr="00BB5033">
        <w:rPr>
          <w:rFonts w:ascii="Cambria" w:eastAsia="Calibri" w:hAnsi="Cambria" w:cs="Times New Roman"/>
          <w:sz w:val="24"/>
          <w:szCs w:val="24"/>
        </w:rPr>
        <w:t>Penninx</w:t>
      </w:r>
      <w:proofErr w:type="spellEnd"/>
      <w:r w:rsidRPr="00BB5033">
        <w:rPr>
          <w:rFonts w:ascii="Cambria" w:eastAsia="Calibri" w:hAnsi="Cambria" w:cs="Times New Roman"/>
          <w:sz w:val="24"/>
          <w:szCs w:val="24"/>
        </w:rPr>
        <w:t xml:space="preserve"> BW, Dekker J. Reduced hypothalamic-pituitary-adrenal axis activity in chronic multi-site musculoskeletal pain: partly masked by depressive and anxiety disorders. </w:t>
      </w:r>
      <w:r w:rsidRPr="00BB5033">
        <w:rPr>
          <w:rFonts w:ascii="Cambria" w:eastAsia="Calibri" w:hAnsi="Cambria" w:cs="Times New Roman"/>
          <w:i/>
          <w:iCs/>
          <w:sz w:val="24"/>
          <w:szCs w:val="24"/>
        </w:rPr>
        <w:t xml:space="preserve">BMC </w:t>
      </w:r>
      <w:proofErr w:type="spellStart"/>
      <w:r w:rsidRPr="00BB5033">
        <w:rPr>
          <w:rFonts w:ascii="Cambria" w:eastAsia="Calibri" w:hAnsi="Cambria" w:cs="Times New Roman"/>
          <w:i/>
          <w:iCs/>
          <w:sz w:val="24"/>
          <w:szCs w:val="24"/>
        </w:rPr>
        <w:t>Musculoskelet</w:t>
      </w:r>
      <w:proofErr w:type="spellEnd"/>
      <w:r w:rsidRPr="00BB5033">
        <w:rPr>
          <w:rFonts w:ascii="Cambria" w:eastAsia="Calibri" w:hAnsi="Cambria" w:cs="Times New Roman"/>
          <w:i/>
          <w:iCs/>
          <w:sz w:val="24"/>
          <w:szCs w:val="24"/>
        </w:rPr>
        <w:t xml:space="preserve"> </w:t>
      </w:r>
      <w:proofErr w:type="spellStart"/>
      <w:r w:rsidRPr="00BB5033">
        <w:rPr>
          <w:rFonts w:ascii="Cambria" w:eastAsia="Calibri" w:hAnsi="Cambria" w:cs="Times New Roman"/>
          <w:i/>
          <w:iCs/>
          <w:sz w:val="24"/>
          <w:szCs w:val="24"/>
        </w:rPr>
        <w:t>Disord</w:t>
      </w:r>
      <w:proofErr w:type="spellEnd"/>
      <w:r w:rsidRPr="00BB5033">
        <w:rPr>
          <w:rFonts w:ascii="Cambria" w:eastAsia="Calibri" w:hAnsi="Cambria" w:cs="Times New Roman"/>
          <w:sz w:val="24"/>
          <w:szCs w:val="24"/>
        </w:rPr>
        <w:t xml:space="preserve">. 2014 Jul </w:t>
      </w:r>
      <w:proofErr w:type="gramStart"/>
      <w:r w:rsidRPr="00BB5033">
        <w:rPr>
          <w:rFonts w:ascii="Cambria" w:eastAsia="Calibri" w:hAnsi="Cambria" w:cs="Times New Roman"/>
          <w:sz w:val="24"/>
          <w:szCs w:val="24"/>
        </w:rPr>
        <w:t>9;15:227</w:t>
      </w:r>
      <w:proofErr w:type="gramEnd"/>
      <w:r>
        <w:rPr>
          <w:rFonts w:ascii="Cambria" w:eastAsia="Calibri" w:hAnsi="Cambria" w:cs="Times New Roman"/>
          <w:sz w:val="24"/>
          <w:szCs w:val="24"/>
        </w:rPr>
        <w:t>.</w:t>
      </w:r>
    </w:p>
    <w:p w14:paraId="38F0D5E4"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Gentili, C., Rickardsson, J., </w:t>
      </w:r>
      <w:proofErr w:type="spellStart"/>
      <w:r w:rsidRPr="00CD2F5C">
        <w:rPr>
          <w:rFonts w:ascii="Cambria" w:eastAsia="Calibri" w:hAnsi="Cambria" w:cs="Times New Roman"/>
          <w:sz w:val="24"/>
          <w:szCs w:val="24"/>
        </w:rPr>
        <w:t>Zetterqvist</w:t>
      </w:r>
      <w:proofErr w:type="spellEnd"/>
      <w:r w:rsidRPr="00CD2F5C">
        <w:rPr>
          <w:rFonts w:ascii="Cambria" w:eastAsia="Calibri" w:hAnsi="Cambria" w:cs="Times New Roman"/>
          <w:sz w:val="24"/>
          <w:szCs w:val="24"/>
        </w:rPr>
        <w:t xml:space="preserve">, V., Simons, L. E., Lekander, M., &amp; Wicksell, R. K. (2019). Psychological Flexibility as a Resilience Factor in Individuals with Chronic Pain. </w:t>
      </w:r>
      <w:r w:rsidRPr="00CD2F5C">
        <w:rPr>
          <w:rFonts w:ascii="Cambria" w:eastAsia="Calibri" w:hAnsi="Cambria" w:cs="Times New Roman"/>
          <w:i/>
          <w:iCs/>
          <w:sz w:val="24"/>
          <w:szCs w:val="24"/>
        </w:rPr>
        <w:t>Frontiers in psychology</w:t>
      </w:r>
      <w:r w:rsidRPr="00CD2F5C">
        <w:rPr>
          <w:rFonts w:ascii="Cambria" w:eastAsia="Calibri" w:hAnsi="Cambria" w:cs="Times New Roman"/>
          <w:sz w:val="24"/>
          <w:szCs w:val="24"/>
        </w:rPr>
        <w:t xml:space="preserve">, 10, 2016. Doi:10.3389/fpsyg.2019.02016.   </w:t>
      </w:r>
    </w:p>
    <w:p w14:paraId="0A4A6466"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Gilbert, L. K., Breiding, M. J., Merrick, M. T., Thompson, W. W., Ford, D. C., Dhingra, S. S., et al. (2015). Childhood adversity and adult chronic disease: an update from ten states and the District of Columbia, 2010. </w:t>
      </w:r>
      <w:r w:rsidRPr="00CD2F5C">
        <w:rPr>
          <w:rFonts w:ascii="Cambria" w:eastAsia="Calibri" w:hAnsi="Cambria" w:cs="Times New Roman"/>
          <w:i/>
          <w:iCs/>
          <w:sz w:val="24"/>
          <w:szCs w:val="24"/>
        </w:rPr>
        <w:t>Am. J. Prev. Med.</w:t>
      </w:r>
      <w:r w:rsidRPr="00CD2F5C">
        <w:rPr>
          <w:rFonts w:ascii="Cambria" w:eastAsia="Calibri" w:hAnsi="Cambria" w:cs="Times New Roman"/>
          <w:sz w:val="24"/>
          <w:szCs w:val="24"/>
        </w:rPr>
        <w:t> 48, 345–349. Doi: 10.1016/j.amepre.2014.09.006</w:t>
      </w:r>
    </w:p>
    <w:p w14:paraId="62FA44FD"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Groenewald, C. B., Murray, C. B., &amp; Palermo, T. M. (2020). Adverse childhood experiences and chronic pain among children and adolescents in the United States. </w:t>
      </w:r>
      <w:r w:rsidRPr="00CD2F5C">
        <w:rPr>
          <w:rFonts w:ascii="Cambria" w:eastAsia="Calibri" w:hAnsi="Cambria" w:cs="Times New Roman"/>
          <w:i/>
          <w:iCs/>
          <w:sz w:val="24"/>
          <w:szCs w:val="24"/>
        </w:rPr>
        <w:t>Pain reports</w:t>
      </w:r>
      <w:r w:rsidRPr="00CD2F5C">
        <w:rPr>
          <w:rFonts w:ascii="Cambria" w:eastAsia="Calibri" w:hAnsi="Cambria" w:cs="Times New Roman"/>
          <w:sz w:val="24"/>
          <w:szCs w:val="24"/>
        </w:rPr>
        <w:t>, </w:t>
      </w:r>
      <w:r w:rsidRPr="00CD2F5C">
        <w:rPr>
          <w:rFonts w:ascii="Cambria" w:eastAsia="Calibri" w:hAnsi="Cambria" w:cs="Times New Roman"/>
          <w:i/>
          <w:iCs/>
          <w:sz w:val="24"/>
          <w:szCs w:val="24"/>
        </w:rPr>
        <w:t>5</w:t>
      </w:r>
      <w:r w:rsidRPr="00CD2F5C">
        <w:rPr>
          <w:rFonts w:ascii="Cambria" w:eastAsia="Calibri" w:hAnsi="Cambria" w:cs="Times New Roman"/>
          <w:sz w:val="24"/>
          <w:szCs w:val="24"/>
        </w:rPr>
        <w:t xml:space="preserve">(5), e839. </w:t>
      </w:r>
      <w:hyperlink r:id="rId22" w:history="1">
        <w:r w:rsidRPr="00CD2F5C">
          <w:rPr>
            <w:rFonts w:ascii="Cambria" w:eastAsia="Calibri" w:hAnsi="Cambria" w:cs="Times New Roman"/>
            <w:color w:val="0563C1"/>
            <w:sz w:val="24"/>
            <w:szCs w:val="24"/>
            <w:u w:val="single"/>
          </w:rPr>
          <w:t>https://doi.org/10.1097/PR9.0000000000000839</w:t>
        </w:r>
      </w:hyperlink>
      <w:r w:rsidRPr="00CD2F5C">
        <w:rPr>
          <w:rFonts w:ascii="Cambria" w:eastAsia="Calibri" w:hAnsi="Cambria" w:cs="Times New Roman"/>
          <w:sz w:val="24"/>
          <w:szCs w:val="24"/>
        </w:rPr>
        <w:t xml:space="preserve"> </w:t>
      </w:r>
    </w:p>
    <w:p w14:paraId="05680714" w14:textId="6BDBCD47" w:rsidR="00DC3F98" w:rsidRDefault="002D1216" w:rsidP="002B0F75">
      <w:pPr>
        <w:spacing w:line="360" w:lineRule="auto"/>
        <w:rPr>
          <w:rFonts w:ascii="Cambria" w:eastAsia="Calibri" w:hAnsi="Cambria" w:cs="Times New Roman"/>
          <w:sz w:val="24"/>
          <w:szCs w:val="24"/>
          <w:u w:val="single"/>
        </w:rPr>
      </w:pPr>
      <w:r w:rsidRPr="00CD2F5C">
        <w:rPr>
          <w:rFonts w:ascii="Cambria" w:eastAsia="Calibri" w:hAnsi="Cambria" w:cs="Times New Roman"/>
          <w:sz w:val="24"/>
          <w:szCs w:val="24"/>
        </w:rPr>
        <w:t xml:space="preserve">Gu, Damin, Zhou, </w:t>
      </w:r>
      <w:proofErr w:type="spellStart"/>
      <w:r w:rsidRPr="00CD2F5C">
        <w:rPr>
          <w:rFonts w:ascii="Cambria" w:eastAsia="Calibri" w:hAnsi="Cambria" w:cs="Times New Roman"/>
          <w:sz w:val="24"/>
          <w:szCs w:val="24"/>
        </w:rPr>
        <w:t>Minmin</w:t>
      </w:r>
      <w:proofErr w:type="spellEnd"/>
      <w:r w:rsidRPr="00CD2F5C">
        <w:rPr>
          <w:rFonts w:ascii="Cambria" w:eastAsia="Calibri" w:hAnsi="Cambria" w:cs="Times New Roman"/>
          <w:sz w:val="24"/>
          <w:szCs w:val="24"/>
        </w:rPr>
        <w:t xml:space="preserve">, Han, Chao, Lei, </w:t>
      </w:r>
      <w:proofErr w:type="spellStart"/>
      <w:r w:rsidRPr="00CD2F5C">
        <w:rPr>
          <w:rFonts w:ascii="Cambria" w:eastAsia="Calibri" w:hAnsi="Cambria" w:cs="Times New Roman"/>
          <w:sz w:val="24"/>
          <w:szCs w:val="24"/>
        </w:rPr>
        <w:t>Daoyun</w:t>
      </w:r>
      <w:proofErr w:type="spellEnd"/>
      <w:r w:rsidRPr="00CD2F5C">
        <w:rPr>
          <w:rFonts w:ascii="Cambria" w:eastAsia="Calibri" w:hAnsi="Cambria" w:cs="Times New Roman"/>
          <w:sz w:val="24"/>
          <w:szCs w:val="24"/>
        </w:rPr>
        <w:t xml:space="preserve">, Xie, </w:t>
      </w:r>
      <w:proofErr w:type="spellStart"/>
      <w:r w:rsidRPr="00CD2F5C">
        <w:rPr>
          <w:rFonts w:ascii="Cambria" w:eastAsia="Calibri" w:hAnsi="Cambria" w:cs="Times New Roman"/>
          <w:sz w:val="24"/>
          <w:szCs w:val="24"/>
        </w:rPr>
        <w:t>Songhui</w:t>
      </w:r>
      <w:proofErr w:type="spellEnd"/>
      <w:r w:rsidRPr="00CD2F5C">
        <w:rPr>
          <w:rFonts w:ascii="Cambria" w:eastAsia="Calibri" w:hAnsi="Cambria" w:cs="Times New Roman"/>
          <w:sz w:val="24"/>
          <w:szCs w:val="24"/>
        </w:rPr>
        <w:t xml:space="preserve">, Yuan, </w:t>
      </w:r>
      <w:proofErr w:type="spellStart"/>
      <w:r w:rsidRPr="00CD2F5C">
        <w:rPr>
          <w:rFonts w:ascii="Cambria" w:eastAsia="Calibri" w:hAnsi="Cambria" w:cs="Times New Roman"/>
          <w:sz w:val="24"/>
          <w:szCs w:val="24"/>
        </w:rPr>
        <w:t>Yanbo</w:t>
      </w:r>
      <w:proofErr w:type="spellEnd"/>
      <w:r w:rsidRPr="00CD2F5C">
        <w:rPr>
          <w:rFonts w:ascii="Cambria" w:eastAsia="Calibri" w:hAnsi="Cambria" w:cs="Times New Roman"/>
          <w:sz w:val="24"/>
          <w:szCs w:val="24"/>
        </w:rPr>
        <w:t xml:space="preserve">, &amp; Ma, </w:t>
      </w:r>
      <w:proofErr w:type="spellStart"/>
      <w:r w:rsidRPr="00CD2F5C">
        <w:rPr>
          <w:rFonts w:ascii="Cambria" w:eastAsia="Calibri" w:hAnsi="Cambria" w:cs="Times New Roman"/>
          <w:sz w:val="24"/>
          <w:szCs w:val="24"/>
        </w:rPr>
        <w:t>Tieliang</w:t>
      </w:r>
      <w:proofErr w:type="spellEnd"/>
      <w:r w:rsidRPr="00CD2F5C">
        <w:rPr>
          <w:rFonts w:ascii="Cambria" w:eastAsia="Calibri" w:hAnsi="Cambria" w:cs="Times New Roman"/>
          <w:sz w:val="24"/>
          <w:szCs w:val="24"/>
        </w:rPr>
        <w:t xml:space="preserve">. (2019). Preoperative anxiety induces chronic postoperative pain by activating astrocytes in the anterior cingulate cortex region. </w:t>
      </w:r>
      <w:proofErr w:type="spellStart"/>
      <w:r w:rsidRPr="00CD2F5C">
        <w:rPr>
          <w:rFonts w:ascii="Cambria" w:eastAsia="Calibri" w:hAnsi="Cambria" w:cs="Times New Roman"/>
          <w:i/>
          <w:iCs/>
          <w:sz w:val="24"/>
          <w:szCs w:val="24"/>
        </w:rPr>
        <w:t>Revista</w:t>
      </w:r>
      <w:proofErr w:type="spellEnd"/>
      <w:r w:rsidRPr="00CD2F5C">
        <w:rPr>
          <w:rFonts w:ascii="Cambria" w:eastAsia="Calibri" w:hAnsi="Cambria" w:cs="Times New Roman"/>
          <w:i/>
          <w:iCs/>
          <w:sz w:val="24"/>
          <w:szCs w:val="24"/>
        </w:rPr>
        <w:t xml:space="preserve"> da </w:t>
      </w:r>
      <w:proofErr w:type="spellStart"/>
      <w:r w:rsidRPr="00CD2F5C">
        <w:rPr>
          <w:rFonts w:ascii="Cambria" w:eastAsia="Calibri" w:hAnsi="Cambria" w:cs="Times New Roman"/>
          <w:i/>
          <w:iCs/>
          <w:sz w:val="24"/>
          <w:szCs w:val="24"/>
        </w:rPr>
        <w:t>Associação</w:t>
      </w:r>
      <w:proofErr w:type="spellEnd"/>
      <w:r w:rsidRPr="00CD2F5C">
        <w:rPr>
          <w:rFonts w:ascii="Cambria" w:eastAsia="Calibri" w:hAnsi="Cambria" w:cs="Times New Roman"/>
          <w:i/>
          <w:iCs/>
          <w:sz w:val="24"/>
          <w:szCs w:val="24"/>
        </w:rPr>
        <w:t xml:space="preserve"> </w:t>
      </w:r>
      <w:proofErr w:type="spellStart"/>
      <w:r w:rsidRPr="00CD2F5C">
        <w:rPr>
          <w:rFonts w:ascii="Cambria" w:eastAsia="Calibri" w:hAnsi="Cambria" w:cs="Times New Roman"/>
          <w:i/>
          <w:iCs/>
          <w:sz w:val="24"/>
          <w:szCs w:val="24"/>
        </w:rPr>
        <w:t>Médica</w:t>
      </w:r>
      <w:proofErr w:type="spellEnd"/>
      <w:r w:rsidRPr="00CD2F5C">
        <w:rPr>
          <w:rFonts w:ascii="Cambria" w:eastAsia="Calibri" w:hAnsi="Cambria" w:cs="Times New Roman"/>
          <w:i/>
          <w:iCs/>
          <w:sz w:val="24"/>
          <w:szCs w:val="24"/>
        </w:rPr>
        <w:t xml:space="preserve"> Brasileira, 65(9), 1174‐1180</w:t>
      </w:r>
      <w:r w:rsidRPr="00CD2F5C">
        <w:rPr>
          <w:rFonts w:ascii="Cambria" w:eastAsia="Calibri" w:hAnsi="Cambria" w:cs="Times New Roman"/>
          <w:sz w:val="24"/>
          <w:szCs w:val="24"/>
        </w:rPr>
        <w:t xml:space="preserve">. </w:t>
      </w:r>
      <w:proofErr w:type="spellStart"/>
      <w:r w:rsidRPr="00CD2F5C">
        <w:rPr>
          <w:rFonts w:ascii="Cambria" w:eastAsia="Calibri" w:hAnsi="Cambria" w:cs="Times New Roman"/>
          <w:sz w:val="24"/>
          <w:szCs w:val="24"/>
        </w:rPr>
        <w:t>Epub</w:t>
      </w:r>
      <w:proofErr w:type="spellEnd"/>
      <w:r w:rsidRPr="00CD2F5C">
        <w:rPr>
          <w:rFonts w:ascii="Cambria" w:eastAsia="Calibri" w:hAnsi="Cambria" w:cs="Times New Roman"/>
          <w:sz w:val="24"/>
          <w:szCs w:val="24"/>
        </w:rPr>
        <w:t xml:space="preserve"> October 10, 2019. </w:t>
      </w:r>
      <w:hyperlink r:id="rId23" w:history="1">
        <w:r w:rsidR="00DC3F98" w:rsidRPr="006464AC">
          <w:rPr>
            <w:rStyle w:val="Hyperlink"/>
            <w:rFonts w:ascii="Cambria" w:eastAsia="Calibri" w:hAnsi="Cambria" w:cs="Times New Roman"/>
            <w:sz w:val="24"/>
            <w:szCs w:val="24"/>
          </w:rPr>
          <w:t>https://dx.doi.org/10.1590/1806‐9282.65.9.1174</w:t>
        </w:r>
      </w:hyperlink>
      <w:r w:rsidR="00DC3F98">
        <w:rPr>
          <w:rFonts w:ascii="Cambria" w:eastAsia="Calibri" w:hAnsi="Cambria" w:cs="Times New Roman"/>
          <w:sz w:val="24"/>
          <w:szCs w:val="24"/>
          <w:u w:val="single"/>
        </w:rPr>
        <w:t>.</w:t>
      </w:r>
    </w:p>
    <w:p w14:paraId="363596FF" w14:textId="1DBE3F8E" w:rsidR="002D1216" w:rsidRPr="00CD2F5C" w:rsidRDefault="00DC3F98" w:rsidP="00DC3F98">
      <w:pPr>
        <w:spacing w:line="360" w:lineRule="auto"/>
        <w:rPr>
          <w:rFonts w:ascii="Cambria" w:eastAsia="Calibri" w:hAnsi="Cambria" w:cs="Times New Roman"/>
          <w:sz w:val="24"/>
          <w:szCs w:val="24"/>
        </w:rPr>
      </w:pPr>
      <w:r w:rsidRPr="00DC3F98">
        <w:rPr>
          <w:rFonts w:ascii="Cambria" w:eastAsia="Calibri" w:hAnsi="Cambria" w:cs="Times New Roman"/>
          <w:sz w:val="24"/>
          <w:szCs w:val="24"/>
        </w:rPr>
        <w:t>Harvard Health Publishing (HHP). C-Reactive Protein test to screen for heart disease: Why do we need another test? 21 March 2017.</w:t>
      </w:r>
      <w:r>
        <w:rPr>
          <w:rFonts w:ascii="Cambria" w:eastAsia="Calibri" w:hAnsi="Cambria" w:cs="Times New Roman"/>
          <w:sz w:val="24"/>
          <w:szCs w:val="24"/>
        </w:rPr>
        <w:t xml:space="preserve"> </w:t>
      </w:r>
      <w:hyperlink r:id="rId24" w:history="1">
        <w:r w:rsidRPr="00DC3F98">
          <w:rPr>
            <w:rStyle w:val="Hyperlink"/>
            <w:rFonts w:ascii="Cambria" w:eastAsia="Calibri" w:hAnsi="Cambria" w:cs="Times New Roman"/>
            <w:sz w:val="24"/>
            <w:szCs w:val="24"/>
          </w:rPr>
          <w:t>https://www.health.harvard.edu/heart-health/c-reactive-protein-test-to-screen-for-heart-disease</w:t>
        </w:r>
      </w:hyperlink>
      <w:r w:rsidRPr="00DC3F98">
        <w:rPr>
          <w:rFonts w:ascii="Cambria" w:eastAsia="Calibri" w:hAnsi="Cambria" w:cs="Times New Roman"/>
          <w:sz w:val="24"/>
          <w:szCs w:val="24"/>
        </w:rPr>
        <w:t>. Accessed 24 October 2024.</w:t>
      </w:r>
      <w:r w:rsidR="002D1216" w:rsidRPr="00CD2F5C">
        <w:rPr>
          <w:rFonts w:ascii="Cambria" w:eastAsia="Calibri" w:hAnsi="Cambria" w:cs="Times New Roman"/>
          <w:sz w:val="24"/>
          <w:szCs w:val="24"/>
        </w:rPr>
        <w:t xml:space="preserve">   </w:t>
      </w:r>
    </w:p>
    <w:p w14:paraId="40EE7C7E" w14:textId="34F2F2F6"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lastRenderedPageBreak/>
        <w:t xml:space="preserve">Harvie, D., Broeker, M., Smith, R., </w:t>
      </w:r>
      <w:proofErr w:type="spellStart"/>
      <w:r w:rsidRPr="00CD2F5C">
        <w:rPr>
          <w:rFonts w:ascii="Cambria" w:eastAsia="Calibri" w:hAnsi="Cambria" w:cs="Times New Roman"/>
          <w:sz w:val="24"/>
          <w:szCs w:val="24"/>
        </w:rPr>
        <w:t>Meulders</w:t>
      </w:r>
      <w:proofErr w:type="spellEnd"/>
      <w:r w:rsidRPr="00CD2F5C">
        <w:rPr>
          <w:rFonts w:ascii="Cambria" w:eastAsia="Calibri" w:hAnsi="Cambria" w:cs="Times New Roman"/>
          <w:sz w:val="24"/>
          <w:szCs w:val="24"/>
        </w:rPr>
        <w:t xml:space="preserve">, A., Madden, J., &amp; Moseley, G.L. (2014). Bogus visual feedback alters movement‐evoked pain onset in people with neck pain. </w:t>
      </w:r>
      <w:r w:rsidRPr="00CD2F5C">
        <w:rPr>
          <w:rFonts w:ascii="Cambria" w:eastAsia="Calibri" w:hAnsi="Cambria" w:cs="Times New Roman"/>
          <w:i/>
          <w:iCs/>
          <w:sz w:val="24"/>
          <w:szCs w:val="24"/>
        </w:rPr>
        <w:t>Psychological science.</w:t>
      </w:r>
      <w:r w:rsidRPr="00CD2F5C">
        <w:rPr>
          <w:rFonts w:ascii="Cambria" w:eastAsia="Calibri" w:hAnsi="Cambria" w:cs="Times New Roman"/>
          <w:sz w:val="24"/>
          <w:szCs w:val="24"/>
        </w:rPr>
        <w:t xml:space="preserve"> 26(4):385‐92. </w:t>
      </w:r>
      <w:r w:rsidRPr="00CD2F5C">
        <w:rPr>
          <w:rFonts w:ascii="Cambria" w:eastAsia="Calibri" w:hAnsi="Cambria" w:cs="Times New Roman"/>
          <w:sz w:val="24"/>
          <w:szCs w:val="24"/>
          <w:u w:val="single"/>
        </w:rPr>
        <w:t>https://doi.org/10.1177%2F0956797614563339</w:t>
      </w:r>
      <w:r w:rsidR="00DC3F98">
        <w:rPr>
          <w:rFonts w:ascii="Cambria" w:eastAsia="Calibri" w:hAnsi="Cambria" w:cs="Times New Roman"/>
          <w:sz w:val="24"/>
          <w:szCs w:val="24"/>
          <w:u w:val="single"/>
        </w:rPr>
        <w:t>.</w:t>
      </w:r>
      <w:r w:rsidRPr="00CD2F5C">
        <w:rPr>
          <w:rFonts w:ascii="Cambria" w:eastAsia="Calibri" w:hAnsi="Cambria" w:cs="Times New Roman"/>
          <w:sz w:val="24"/>
          <w:szCs w:val="24"/>
        </w:rPr>
        <w:t xml:space="preserve">  </w:t>
      </w:r>
    </w:p>
    <w:p w14:paraId="182ACF08"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Kalia V, </w:t>
      </w:r>
      <w:proofErr w:type="spellStart"/>
      <w:r w:rsidRPr="00CD2F5C">
        <w:rPr>
          <w:rFonts w:ascii="Cambria" w:eastAsia="Calibri" w:hAnsi="Cambria" w:cs="Times New Roman"/>
          <w:sz w:val="24"/>
          <w:szCs w:val="24"/>
        </w:rPr>
        <w:t>Knauft</w:t>
      </w:r>
      <w:proofErr w:type="spellEnd"/>
      <w:r w:rsidRPr="00CD2F5C">
        <w:rPr>
          <w:rFonts w:ascii="Cambria" w:eastAsia="Calibri" w:hAnsi="Cambria" w:cs="Times New Roman"/>
          <w:sz w:val="24"/>
          <w:szCs w:val="24"/>
        </w:rPr>
        <w:t xml:space="preserve"> K, </w:t>
      </w:r>
      <w:proofErr w:type="spellStart"/>
      <w:r w:rsidRPr="00CD2F5C">
        <w:rPr>
          <w:rFonts w:ascii="Cambria" w:eastAsia="Calibri" w:hAnsi="Cambria" w:cs="Times New Roman"/>
          <w:sz w:val="24"/>
          <w:szCs w:val="24"/>
        </w:rPr>
        <w:t>Hayatbini</w:t>
      </w:r>
      <w:proofErr w:type="spellEnd"/>
      <w:r w:rsidRPr="00CD2F5C">
        <w:rPr>
          <w:rFonts w:ascii="Cambria" w:eastAsia="Calibri" w:hAnsi="Cambria" w:cs="Times New Roman"/>
          <w:sz w:val="24"/>
          <w:szCs w:val="24"/>
        </w:rPr>
        <w:t xml:space="preserve"> N. Cognitive flexibility and perceived threat from COVID-19 mediate the relationship between childhood maltreatment and state anxiety. </w:t>
      </w:r>
      <w:proofErr w:type="spellStart"/>
      <w:r w:rsidRPr="00CD2F5C">
        <w:rPr>
          <w:rFonts w:ascii="Cambria" w:eastAsia="Calibri" w:hAnsi="Cambria" w:cs="Times New Roman"/>
          <w:i/>
          <w:iCs/>
          <w:sz w:val="24"/>
          <w:szCs w:val="24"/>
        </w:rPr>
        <w:t>PloS</w:t>
      </w:r>
      <w:proofErr w:type="spellEnd"/>
      <w:r w:rsidRPr="00CD2F5C">
        <w:rPr>
          <w:rFonts w:ascii="Cambria" w:eastAsia="Calibri" w:hAnsi="Cambria" w:cs="Times New Roman"/>
          <w:i/>
          <w:iCs/>
          <w:sz w:val="24"/>
          <w:szCs w:val="24"/>
        </w:rPr>
        <w:t xml:space="preserve"> One</w:t>
      </w:r>
      <w:r w:rsidRPr="00CD2F5C">
        <w:rPr>
          <w:rFonts w:ascii="Cambria" w:eastAsia="Calibri" w:hAnsi="Cambria" w:cs="Times New Roman"/>
          <w:sz w:val="24"/>
          <w:szCs w:val="24"/>
        </w:rPr>
        <w:t>. 2020;15(12</w:t>
      </w:r>
      <w:proofErr w:type="gramStart"/>
      <w:r w:rsidRPr="00CD2F5C">
        <w:rPr>
          <w:rFonts w:ascii="Cambria" w:eastAsia="Calibri" w:hAnsi="Cambria" w:cs="Times New Roman"/>
          <w:sz w:val="24"/>
          <w:szCs w:val="24"/>
        </w:rPr>
        <w:t>):e</w:t>
      </w:r>
      <w:proofErr w:type="gramEnd"/>
      <w:r w:rsidRPr="00CD2F5C">
        <w:rPr>
          <w:rFonts w:ascii="Cambria" w:eastAsia="Calibri" w:hAnsi="Cambria" w:cs="Times New Roman"/>
          <w:sz w:val="24"/>
          <w:szCs w:val="24"/>
        </w:rPr>
        <w:t xml:space="preserve">0243881. Published 2020 Dec 11. </w:t>
      </w:r>
      <w:proofErr w:type="gramStart"/>
      <w:r w:rsidRPr="00CD2F5C">
        <w:rPr>
          <w:rFonts w:ascii="Cambria" w:eastAsia="Calibri" w:hAnsi="Cambria" w:cs="Times New Roman"/>
          <w:sz w:val="24"/>
          <w:szCs w:val="24"/>
        </w:rPr>
        <w:t>Doi:10.1371/journal.pone</w:t>
      </w:r>
      <w:proofErr w:type="gramEnd"/>
      <w:r w:rsidRPr="00CD2F5C">
        <w:rPr>
          <w:rFonts w:ascii="Cambria" w:eastAsia="Calibri" w:hAnsi="Cambria" w:cs="Times New Roman"/>
          <w:sz w:val="24"/>
          <w:szCs w:val="24"/>
        </w:rPr>
        <w:t xml:space="preserve">.0243881. </w:t>
      </w:r>
    </w:p>
    <w:p w14:paraId="3D5536E7"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Kennedy E, </w:t>
      </w:r>
      <w:bookmarkStart w:id="20" w:name="_Hlk162117247"/>
      <w:r w:rsidRPr="00CD2F5C">
        <w:rPr>
          <w:rFonts w:ascii="Cambria" w:eastAsia="Calibri" w:hAnsi="Cambria" w:cs="Times New Roman"/>
          <w:sz w:val="24"/>
          <w:szCs w:val="24"/>
        </w:rPr>
        <w:t>Niedzwiedz</w:t>
      </w:r>
      <w:bookmarkEnd w:id="20"/>
      <w:r w:rsidRPr="00CD2F5C">
        <w:rPr>
          <w:rFonts w:ascii="Cambria" w:eastAsia="Calibri" w:hAnsi="Cambria" w:cs="Times New Roman"/>
          <w:sz w:val="24"/>
          <w:szCs w:val="24"/>
        </w:rPr>
        <w:t xml:space="preserve"> CL. The association of anxiety and stress-related disorders with C-reactive protein (CRP) within UK Biobank. </w:t>
      </w:r>
      <w:r w:rsidRPr="00CD2F5C">
        <w:rPr>
          <w:rFonts w:ascii="Cambria" w:eastAsia="Calibri" w:hAnsi="Cambria" w:cs="Times New Roman"/>
          <w:i/>
          <w:iCs/>
          <w:sz w:val="24"/>
          <w:szCs w:val="24"/>
        </w:rPr>
        <w:t xml:space="preserve">Brain </w:t>
      </w:r>
      <w:proofErr w:type="spellStart"/>
      <w:r w:rsidRPr="00CD2F5C">
        <w:rPr>
          <w:rFonts w:ascii="Cambria" w:eastAsia="Calibri" w:hAnsi="Cambria" w:cs="Times New Roman"/>
          <w:i/>
          <w:iCs/>
          <w:sz w:val="24"/>
          <w:szCs w:val="24"/>
        </w:rPr>
        <w:t>Behav</w:t>
      </w:r>
      <w:proofErr w:type="spellEnd"/>
      <w:r w:rsidRPr="00CD2F5C">
        <w:rPr>
          <w:rFonts w:ascii="Cambria" w:eastAsia="Calibri" w:hAnsi="Cambria" w:cs="Times New Roman"/>
          <w:i/>
          <w:iCs/>
          <w:sz w:val="24"/>
          <w:szCs w:val="24"/>
        </w:rPr>
        <w:t xml:space="preserve"> </w:t>
      </w:r>
      <w:proofErr w:type="spellStart"/>
      <w:r w:rsidRPr="00CD2F5C">
        <w:rPr>
          <w:rFonts w:ascii="Cambria" w:eastAsia="Calibri" w:hAnsi="Cambria" w:cs="Times New Roman"/>
          <w:i/>
          <w:iCs/>
          <w:sz w:val="24"/>
          <w:szCs w:val="24"/>
        </w:rPr>
        <w:t>Immun</w:t>
      </w:r>
      <w:proofErr w:type="spellEnd"/>
      <w:r w:rsidRPr="00CD2F5C">
        <w:rPr>
          <w:rFonts w:ascii="Cambria" w:eastAsia="Calibri" w:hAnsi="Cambria" w:cs="Times New Roman"/>
          <w:i/>
          <w:iCs/>
          <w:sz w:val="24"/>
          <w:szCs w:val="24"/>
        </w:rPr>
        <w:t xml:space="preserve"> Health</w:t>
      </w:r>
      <w:r w:rsidRPr="00CD2F5C">
        <w:rPr>
          <w:rFonts w:ascii="Cambria" w:eastAsia="Calibri" w:hAnsi="Cambria" w:cs="Times New Roman"/>
          <w:sz w:val="24"/>
          <w:szCs w:val="24"/>
        </w:rPr>
        <w:t>. 2021 Dec 27; 19:100410. Doi: 10.1016/j.bbih.2021.100410.</w:t>
      </w:r>
    </w:p>
    <w:p w14:paraId="09282353"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Khera T, Rangasamy V. Cognition and Pain: A Review. </w:t>
      </w:r>
      <w:r w:rsidRPr="00CD2F5C">
        <w:rPr>
          <w:rFonts w:ascii="Cambria" w:eastAsia="Calibri" w:hAnsi="Cambria" w:cs="Times New Roman"/>
          <w:i/>
          <w:iCs/>
          <w:sz w:val="24"/>
          <w:szCs w:val="24"/>
        </w:rPr>
        <w:t>Front Psychol</w:t>
      </w:r>
      <w:r w:rsidRPr="00CD2F5C">
        <w:rPr>
          <w:rFonts w:ascii="Cambria" w:eastAsia="Calibri" w:hAnsi="Cambria" w:cs="Times New Roman"/>
          <w:sz w:val="24"/>
          <w:szCs w:val="24"/>
        </w:rPr>
        <w:t xml:space="preserve">. 2021; 12:673962. Published 2021 May 21. Doi:10.3389/fpsyg.2021.673962. </w:t>
      </w:r>
    </w:p>
    <w:p w14:paraId="63DFCDBD" w14:textId="77777777" w:rsidR="002D1216"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Lervåg A. Editorial: Correlation and causation: to study causality in psychopathology. J </w:t>
      </w:r>
      <w:r w:rsidRPr="00CD2F5C">
        <w:rPr>
          <w:rFonts w:ascii="Cambria" w:eastAsia="Calibri" w:hAnsi="Cambria" w:cs="Times New Roman"/>
          <w:i/>
          <w:iCs/>
          <w:sz w:val="24"/>
          <w:szCs w:val="24"/>
        </w:rPr>
        <w:t>Child Psychol Psychiatry</w:t>
      </w:r>
      <w:r w:rsidRPr="00CD2F5C">
        <w:rPr>
          <w:rFonts w:ascii="Cambria" w:eastAsia="Calibri" w:hAnsi="Cambria" w:cs="Times New Roman"/>
          <w:sz w:val="24"/>
          <w:szCs w:val="24"/>
        </w:rPr>
        <w:t>. 2019 Jun;60(6):603-605. Doi: 10.1111/jcpp.13074. PMID: 31087558.</w:t>
      </w:r>
    </w:p>
    <w:p w14:paraId="1FF0207B" w14:textId="1A8255EC" w:rsidR="00265F53" w:rsidRDefault="00265F53" w:rsidP="002B0F75">
      <w:pPr>
        <w:spacing w:line="360" w:lineRule="auto"/>
        <w:rPr>
          <w:rFonts w:ascii="Cambria" w:eastAsia="Calibri" w:hAnsi="Cambria" w:cs="Times New Roman"/>
          <w:sz w:val="24"/>
          <w:szCs w:val="24"/>
        </w:rPr>
      </w:pPr>
      <w:r w:rsidRPr="00265F53">
        <w:rPr>
          <w:rFonts w:ascii="Cambria" w:eastAsia="Calibri" w:hAnsi="Cambria" w:cs="Times New Roman"/>
          <w:sz w:val="24"/>
          <w:szCs w:val="24"/>
        </w:rPr>
        <w:t xml:space="preserve">Li C, Xiang S. Adverse Childhood Experiences, Inflammation, and Depressive Symptoms in Late Life: A Population-Based Study. </w:t>
      </w:r>
      <w:r w:rsidRPr="004447E8">
        <w:rPr>
          <w:rFonts w:ascii="Cambria" w:eastAsia="Calibri" w:hAnsi="Cambria" w:cs="Times New Roman"/>
          <w:i/>
          <w:iCs/>
          <w:sz w:val="24"/>
          <w:szCs w:val="24"/>
        </w:rPr>
        <w:t xml:space="preserve">J </w:t>
      </w:r>
      <w:proofErr w:type="spellStart"/>
      <w:r w:rsidRPr="004447E8">
        <w:rPr>
          <w:rFonts w:ascii="Cambria" w:eastAsia="Calibri" w:hAnsi="Cambria" w:cs="Times New Roman"/>
          <w:i/>
          <w:iCs/>
          <w:sz w:val="24"/>
          <w:szCs w:val="24"/>
        </w:rPr>
        <w:t>Gerontol</w:t>
      </w:r>
      <w:proofErr w:type="spellEnd"/>
      <w:r w:rsidRPr="004447E8">
        <w:rPr>
          <w:rFonts w:ascii="Cambria" w:eastAsia="Calibri" w:hAnsi="Cambria" w:cs="Times New Roman"/>
          <w:i/>
          <w:iCs/>
          <w:sz w:val="24"/>
          <w:szCs w:val="24"/>
        </w:rPr>
        <w:t xml:space="preserve"> B Psychol Sci Soc Sci</w:t>
      </w:r>
      <w:r w:rsidRPr="00265F53">
        <w:rPr>
          <w:rFonts w:ascii="Cambria" w:eastAsia="Calibri" w:hAnsi="Cambria" w:cs="Times New Roman"/>
          <w:sz w:val="24"/>
          <w:szCs w:val="24"/>
        </w:rPr>
        <w:t xml:space="preserve">. 2023 Feb 19;78(2):220-229. </w:t>
      </w:r>
      <w:proofErr w:type="spellStart"/>
      <w:r w:rsidRPr="00265F53">
        <w:rPr>
          <w:rFonts w:ascii="Cambria" w:eastAsia="Calibri" w:hAnsi="Cambria" w:cs="Times New Roman"/>
          <w:sz w:val="24"/>
          <w:szCs w:val="24"/>
        </w:rPr>
        <w:t>doi</w:t>
      </w:r>
      <w:proofErr w:type="spellEnd"/>
      <w:r w:rsidRPr="00265F53">
        <w:rPr>
          <w:rFonts w:ascii="Cambria" w:eastAsia="Calibri" w:hAnsi="Cambria" w:cs="Times New Roman"/>
          <w:sz w:val="24"/>
          <w:szCs w:val="24"/>
        </w:rPr>
        <w:t>: 10.1093/</w:t>
      </w:r>
      <w:proofErr w:type="spellStart"/>
      <w:r w:rsidRPr="00265F53">
        <w:rPr>
          <w:rFonts w:ascii="Cambria" w:eastAsia="Calibri" w:hAnsi="Cambria" w:cs="Times New Roman"/>
          <w:sz w:val="24"/>
          <w:szCs w:val="24"/>
        </w:rPr>
        <w:t>geronb</w:t>
      </w:r>
      <w:proofErr w:type="spellEnd"/>
      <w:r w:rsidRPr="00265F53">
        <w:rPr>
          <w:rFonts w:ascii="Cambria" w:eastAsia="Calibri" w:hAnsi="Cambria" w:cs="Times New Roman"/>
          <w:sz w:val="24"/>
          <w:szCs w:val="24"/>
        </w:rPr>
        <w:t>/gbac179.</w:t>
      </w:r>
    </w:p>
    <w:p w14:paraId="47B01BA3" w14:textId="0ABC75E9" w:rsidR="00DC3F98" w:rsidRPr="004447E8" w:rsidRDefault="00DC3F98" w:rsidP="00DC3F98">
      <w:pPr>
        <w:spacing w:line="360" w:lineRule="auto"/>
        <w:rPr>
          <w:rFonts w:ascii="Cambria" w:eastAsia="Calibri" w:hAnsi="Cambria" w:cs="Times New Roman"/>
          <w:sz w:val="24"/>
          <w:szCs w:val="24"/>
          <w:lang w:val="en-US"/>
        </w:rPr>
      </w:pPr>
      <w:r w:rsidRPr="00DC3F98">
        <w:rPr>
          <w:rFonts w:ascii="Cambria" w:eastAsia="Calibri" w:hAnsi="Cambria" w:cs="Times New Roman"/>
          <w:sz w:val="24"/>
          <w:szCs w:val="24"/>
          <w:lang w:val="en-US"/>
        </w:rPr>
        <w:t>Lubell, Y. et al.</w:t>
      </w:r>
      <w:r w:rsidRPr="00DC3F98">
        <w:rPr>
          <w:rFonts w:ascii="Cambria" w:eastAsia="Calibri" w:hAnsi="Cambria" w:cs="Times New Roman"/>
          <w:sz w:val="24"/>
          <w:szCs w:val="24"/>
        </w:rPr>
        <w:t xml:space="preserve"> C</w:t>
      </w:r>
      <w:r w:rsidRPr="00DC3F98">
        <w:rPr>
          <w:rFonts w:ascii="Cambria" w:eastAsia="Calibri" w:hAnsi="Cambria" w:cs="Times New Roman"/>
          <w:sz w:val="24"/>
          <w:szCs w:val="24"/>
          <w:lang w:val="en-US"/>
        </w:rPr>
        <w:t>-reactive protein testing in primary care for acute respiratory infections: a cost-effective strategy to mitigate antimicrobial resistance across different income settings</w:t>
      </w:r>
      <w:r w:rsidRPr="00DC3F98">
        <w:rPr>
          <w:rFonts w:ascii="Cambria" w:eastAsia="Calibri" w:hAnsi="Cambria" w:cs="Times New Roman"/>
          <w:b/>
          <w:bCs/>
          <w:sz w:val="24"/>
          <w:szCs w:val="24"/>
          <w:lang w:val="en-US"/>
        </w:rPr>
        <w:t xml:space="preserve">. </w:t>
      </w:r>
      <w:r w:rsidRPr="00DC3F98">
        <w:rPr>
          <w:rFonts w:ascii="Cambria" w:eastAsia="Calibri" w:hAnsi="Cambria" w:cs="Times New Roman"/>
          <w:i/>
          <w:iCs/>
          <w:sz w:val="24"/>
          <w:szCs w:val="24"/>
          <w:lang w:val="en-US"/>
        </w:rPr>
        <w:t>Lancet Global Health</w:t>
      </w:r>
      <w:r w:rsidRPr="00DC3F98">
        <w:rPr>
          <w:rFonts w:ascii="Cambria" w:eastAsia="Calibri" w:hAnsi="Cambria" w:cs="Times New Roman"/>
          <w:sz w:val="24"/>
          <w:szCs w:val="24"/>
          <w:lang w:val="en-US"/>
        </w:rPr>
        <w:t>. 2024. https://doi.org/10.1016/S2214-109X(24)00382-6.</w:t>
      </w:r>
    </w:p>
    <w:p w14:paraId="1BE4BA68"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Lumley S, Yu D, Wilkie R, Jordan KP, Peat G. Chronic pain-mental health comorbidity and excess prevalence of health risk behaviours: a cross-sectional study</w:t>
      </w:r>
      <w:r w:rsidRPr="00CD2F5C">
        <w:rPr>
          <w:rFonts w:ascii="Cambria" w:eastAsia="Calibri" w:hAnsi="Cambria" w:cs="Times New Roman"/>
          <w:i/>
          <w:iCs/>
          <w:sz w:val="24"/>
          <w:szCs w:val="24"/>
        </w:rPr>
        <w:t>. Prim Health Care Res Dev</w:t>
      </w:r>
      <w:r w:rsidRPr="00CD2F5C">
        <w:rPr>
          <w:rFonts w:ascii="Cambria" w:eastAsia="Calibri" w:hAnsi="Cambria" w:cs="Times New Roman"/>
          <w:sz w:val="24"/>
          <w:szCs w:val="24"/>
        </w:rPr>
        <w:t>. 2024 Apr 8;</w:t>
      </w:r>
      <w:proofErr w:type="gramStart"/>
      <w:r w:rsidRPr="00CD2F5C">
        <w:rPr>
          <w:rFonts w:ascii="Cambria" w:eastAsia="Calibri" w:hAnsi="Cambria" w:cs="Times New Roman"/>
          <w:sz w:val="24"/>
          <w:szCs w:val="24"/>
        </w:rPr>
        <w:t>25:e</w:t>
      </w:r>
      <w:proofErr w:type="gramEnd"/>
      <w:r w:rsidRPr="00CD2F5C">
        <w:rPr>
          <w:rFonts w:ascii="Cambria" w:eastAsia="Calibri" w:hAnsi="Cambria" w:cs="Times New Roman"/>
          <w:sz w:val="24"/>
          <w:szCs w:val="24"/>
        </w:rPr>
        <w:t xml:space="preserve">15. </w:t>
      </w:r>
      <w:proofErr w:type="spellStart"/>
      <w:r w:rsidRPr="00CD2F5C">
        <w:rPr>
          <w:rFonts w:ascii="Cambria" w:eastAsia="Calibri" w:hAnsi="Cambria" w:cs="Times New Roman"/>
          <w:sz w:val="24"/>
          <w:szCs w:val="24"/>
        </w:rPr>
        <w:t>doi</w:t>
      </w:r>
      <w:proofErr w:type="spellEnd"/>
      <w:r w:rsidRPr="00CD2F5C">
        <w:rPr>
          <w:rFonts w:ascii="Cambria" w:eastAsia="Calibri" w:hAnsi="Cambria" w:cs="Times New Roman"/>
          <w:sz w:val="24"/>
          <w:szCs w:val="24"/>
        </w:rPr>
        <w:t>: 10.1017/S1463423624000070.</w:t>
      </w:r>
    </w:p>
    <w:p w14:paraId="30CFED17"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Macfarlane G., Beasley M., Smith B., Jones G., Macfarlane T. Can large surveys conducted on highly selected populations provide valid information on the epidemiology of common health conditions? An analysis of UK Biobank data on musculoskeletal pain. </w:t>
      </w:r>
      <w:r w:rsidRPr="00CD2F5C">
        <w:rPr>
          <w:rFonts w:ascii="Cambria" w:eastAsia="Calibri" w:hAnsi="Cambria" w:cs="Times New Roman"/>
          <w:i/>
          <w:iCs/>
          <w:sz w:val="24"/>
          <w:szCs w:val="24"/>
        </w:rPr>
        <w:t>Br J Pain. </w:t>
      </w:r>
      <w:r w:rsidRPr="00CD2F5C">
        <w:rPr>
          <w:rFonts w:ascii="Cambria" w:eastAsia="Calibri" w:hAnsi="Cambria" w:cs="Times New Roman"/>
          <w:sz w:val="24"/>
          <w:szCs w:val="24"/>
        </w:rPr>
        <w:t>2015; 9:203–212.</w:t>
      </w:r>
    </w:p>
    <w:p w14:paraId="33C765DF"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lastRenderedPageBreak/>
        <w:t xml:space="preserve">Meints SM, Edwards RR. (2018). Evaluating psychosocial contributions to chronic pain outcomes. </w:t>
      </w:r>
      <w:r w:rsidRPr="004447E8">
        <w:rPr>
          <w:rFonts w:ascii="Cambria" w:eastAsia="Calibri" w:hAnsi="Cambria" w:cs="Times New Roman"/>
          <w:i/>
          <w:iCs/>
          <w:sz w:val="24"/>
          <w:szCs w:val="24"/>
        </w:rPr>
        <w:t xml:space="preserve">Prog </w:t>
      </w:r>
      <w:proofErr w:type="spellStart"/>
      <w:r w:rsidRPr="004447E8">
        <w:rPr>
          <w:rFonts w:ascii="Cambria" w:eastAsia="Calibri" w:hAnsi="Cambria" w:cs="Times New Roman"/>
          <w:i/>
          <w:iCs/>
          <w:sz w:val="24"/>
          <w:szCs w:val="24"/>
        </w:rPr>
        <w:t>Neuropsychopharmacol</w:t>
      </w:r>
      <w:proofErr w:type="spellEnd"/>
      <w:r w:rsidRPr="00CD2F5C">
        <w:rPr>
          <w:rFonts w:ascii="Cambria" w:eastAsia="Calibri" w:hAnsi="Cambria" w:cs="Times New Roman"/>
          <w:sz w:val="24"/>
          <w:szCs w:val="24"/>
        </w:rPr>
        <w:t xml:space="preserve"> </w:t>
      </w:r>
      <w:proofErr w:type="spellStart"/>
      <w:r w:rsidRPr="00CD2F5C">
        <w:rPr>
          <w:rFonts w:ascii="Cambria" w:eastAsia="Calibri" w:hAnsi="Cambria" w:cs="Times New Roman"/>
          <w:i/>
          <w:iCs/>
          <w:sz w:val="24"/>
          <w:szCs w:val="24"/>
        </w:rPr>
        <w:t>Biol</w:t>
      </w:r>
      <w:proofErr w:type="spellEnd"/>
      <w:r w:rsidRPr="00CD2F5C">
        <w:rPr>
          <w:rFonts w:ascii="Cambria" w:eastAsia="Calibri" w:hAnsi="Cambria" w:cs="Times New Roman"/>
          <w:i/>
          <w:iCs/>
          <w:sz w:val="24"/>
          <w:szCs w:val="24"/>
        </w:rPr>
        <w:t xml:space="preserve"> Psychiatry.</w:t>
      </w:r>
      <w:r w:rsidRPr="00CD2F5C">
        <w:rPr>
          <w:rFonts w:ascii="Cambria" w:eastAsia="Calibri" w:hAnsi="Cambria" w:cs="Times New Roman"/>
          <w:sz w:val="24"/>
          <w:szCs w:val="24"/>
        </w:rPr>
        <w:t xml:space="preserve"> 87(Pt B):168-182. Doi: 10.1016/j.pnpbp.2018.01.017. </w:t>
      </w:r>
    </w:p>
    <w:p w14:paraId="039BDFAD" w14:textId="77777777" w:rsidR="002D1216" w:rsidRPr="00CD2F5C" w:rsidRDefault="002D1216" w:rsidP="002B0F75">
      <w:pPr>
        <w:spacing w:line="360" w:lineRule="auto"/>
        <w:rPr>
          <w:rFonts w:ascii="Cambria" w:eastAsia="Calibri" w:hAnsi="Cambria" w:cs="Times New Roman"/>
          <w:color w:val="0563C1"/>
          <w:sz w:val="24"/>
          <w:szCs w:val="24"/>
          <w:u w:val="single"/>
        </w:rPr>
      </w:pPr>
      <w:r w:rsidRPr="00CD2F5C">
        <w:rPr>
          <w:rFonts w:ascii="Cambria" w:eastAsia="Calibri" w:hAnsi="Cambria" w:cs="Times New Roman"/>
          <w:sz w:val="24"/>
          <w:szCs w:val="24"/>
        </w:rPr>
        <w:t>Merrick MT, Ford DC, Ports KA, et al. (2019). </w:t>
      </w:r>
      <w:r w:rsidRPr="00CD2F5C">
        <w:rPr>
          <w:rFonts w:ascii="Cambria" w:eastAsia="Calibri" w:hAnsi="Cambria" w:cs="Times New Roman"/>
          <w:i/>
          <w:iCs/>
          <w:sz w:val="24"/>
          <w:szCs w:val="24"/>
        </w:rPr>
        <w:t>Vital Signs:</w:t>
      </w:r>
      <w:r w:rsidRPr="00CD2F5C">
        <w:rPr>
          <w:rFonts w:ascii="Cambria" w:eastAsia="Calibri" w:hAnsi="Cambria" w:cs="Times New Roman"/>
          <w:sz w:val="24"/>
          <w:szCs w:val="24"/>
        </w:rPr>
        <w:t xml:space="preserve"> Estimated Proportion of Adult Health Problems Attributable to Adverse Childhood Experiences and Implications for Prevention — 25 States, 2015–2017. MMWR </w:t>
      </w:r>
      <w:proofErr w:type="spellStart"/>
      <w:r w:rsidRPr="00CD2F5C">
        <w:rPr>
          <w:rFonts w:ascii="Cambria" w:eastAsia="Calibri" w:hAnsi="Cambria" w:cs="Times New Roman"/>
          <w:sz w:val="24"/>
          <w:szCs w:val="24"/>
        </w:rPr>
        <w:t>Morb</w:t>
      </w:r>
      <w:proofErr w:type="spellEnd"/>
      <w:r w:rsidRPr="00CD2F5C">
        <w:rPr>
          <w:rFonts w:ascii="Cambria" w:eastAsia="Calibri" w:hAnsi="Cambria" w:cs="Times New Roman"/>
          <w:sz w:val="24"/>
          <w:szCs w:val="24"/>
        </w:rPr>
        <w:t xml:space="preserve"> Mortal </w:t>
      </w:r>
      <w:proofErr w:type="spellStart"/>
      <w:r w:rsidRPr="00CD2F5C">
        <w:rPr>
          <w:rFonts w:ascii="Cambria" w:eastAsia="Calibri" w:hAnsi="Cambria" w:cs="Times New Roman"/>
          <w:sz w:val="24"/>
          <w:szCs w:val="24"/>
        </w:rPr>
        <w:t>Wkly</w:t>
      </w:r>
      <w:proofErr w:type="spellEnd"/>
      <w:r w:rsidRPr="00CD2F5C">
        <w:rPr>
          <w:rFonts w:ascii="Cambria" w:eastAsia="Calibri" w:hAnsi="Cambria" w:cs="Times New Roman"/>
          <w:sz w:val="24"/>
          <w:szCs w:val="24"/>
        </w:rPr>
        <w:t xml:space="preserve"> Rep. 68:999-1005. DOI: </w:t>
      </w:r>
      <w:hyperlink r:id="rId25" w:tgtFrame="_blank" w:history="1">
        <w:r w:rsidRPr="00CD2F5C">
          <w:rPr>
            <w:rFonts w:ascii="Cambria" w:eastAsia="Calibri" w:hAnsi="Cambria" w:cs="Times New Roman"/>
            <w:color w:val="0563C1"/>
            <w:sz w:val="24"/>
            <w:szCs w:val="24"/>
            <w:u w:val="single"/>
          </w:rPr>
          <w:t>http://dx.doi.org/10.15585/mmwr.mm6844e1</w:t>
        </w:r>
      </w:hyperlink>
      <w:r w:rsidRPr="00CD2F5C">
        <w:rPr>
          <w:rFonts w:ascii="Cambria" w:eastAsia="Calibri" w:hAnsi="Cambria" w:cs="Times New Roman"/>
          <w:color w:val="0563C1"/>
          <w:sz w:val="24"/>
          <w:szCs w:val="24"/>
          <w:u w:val="single"/>
        </w:rPr>
        <w:t>.</w:t>
      </w:r>
    </w:p>
    <w:p w14:paraId="0DE0A427"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t>Merskey</w:t>
      </w:r>
      <w:proofErr w:type="spellEnd"/>
      <w:r w:rsidRPr="00CD2F5C">
        <w:rPr>
          <w:rFonts w:ascii="Cambria" w:eastAsia="Calibri" w:hAnsi="Cambria" w:cs="Times New Roman"/>
          <w:sz w:val="24"/>
          <w:szCs w:val="24"/>
        </w:rPr>
        <w:t xml:space="preserve"> H., </w:t>
      </w:r>
      <w:proofErr w:type="spellStart"/>
      <w:r w:rsidRPr="00CD2F5C">
        <w:rPr>
          <w:rFonts w:ascii="Cambria" w:eastAsia="Calibri" w:hAnsi="Cambria" w:cs="Times New Roman"/>
          <w:sz w:val="24"/>
          <w:szCs w:val="24"/>
        </w:rPr>
        <w:t>Bogduk</w:t>
      </w:r>
      <w:proofErr w:type="spellEnd"/>
      <w:r w:rsidRPr="00CD2F5C">
        <w:rPr>
          <w:rFonts w:ascii="Cambria" w:eastAsia="Calibri" w:hAnsi="Cambria" w:cs="Times New Roman"/>
          <w:sz w:val="24"/>
          <w:szCs w:val="24"/>
        </w:rPr>
        <w:t xml:space="preserve"> N., editors. </w:t>
      </w:r>
      <w:r w:rsidRPr="00CD2F5C">
        <w:rPr>
          <w:rFonts w:ascii="Cambria" w:eastAsia="Calibri" w:hAnsi="Cambria" w:cs="Times New Roman"/>
          <w:i/>
          <w:iCs/>
          <w:sz w:val="24"/>
          <w:szCs w:val="24"/>
        </w:rPr>
        <w:t>IASP task force on taxonomy, Part III: Pain Terms, A Current List with Definitions and Notes on Usage.</w:t>
      </w:r>
      <w:r w:rsidRPr="00CD2F5C">
        <w:rPr>
          <w:rFonts w:ascii="Cambria" w:eastAsia="Calibri" w:hAnsi="Cambria" w:cs="Times New Roman"/>
          <w:sz w:val="24"/>
          <w:szCs w:val="24"/>
        </w:rPr>
        <w:t xml:space="preserve"> IASP Press; Seattle, WA: 1994. Pp. </w:t>
      </w:r>
      <w:bookmarkStart w:id="21" w:name="_Hlk165204998"/>
      <w:r w:rsidRPr="00CD2F5C">
        <w:rPr>
          <w:rFonts w:ascii="Cambria" w:eastAsia="Calibri" w:hAnsi="Cambria" w:cs="Times New Roman"/>
          <w:sz w:val="24"/>
          <w:szCs w:val="24"/>
        </w:rPr>
        <w:t>209–214</w:t>
      </w:r>
      <w:bookmarkEnd w:id="21"/>
      <w:r w:rsidRPr="00CD2F5C">
        <w:rPr>
          <w:rFonts w:ascii="Cambria" w:eastAsia="Calibri" w:hAnsi="Cambria" w:cs="Times New Roman"/>
          <w:sz w:val="24"/>
          <w:szCs w:val="24"/>
        </w:rPr>
        <w:t>.</w:t>
      </w:r>
    </w:p>
    <w:p w14:paraId="7E061766"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Michopoulos V, Powers A, Gillespie CF, Ressler KJ, Jovanovic T. (2017). Inflammation in Fear- and Anxiety-Based Disorders: PTSD, GAD, and Beyond. Neuropsychopharmacology. 42(1):254-270. Doi: 10.1038/npp.2016.146. </w:t>
      </w:r>
    </w:p>
    <w:p w14:paraId="4ABC9CD7"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Mills SEE, Nicolson KP, Smith BH. Chronic pain: a review of its epidemiology and associated factors in population-based studies. </w:t>
      </w:r>
      <w:r w:rsidRPr="00CD2F5C">
        <w:rPr>
          <w:rFonts w:ascii="Cambria" w:eastAsia="Calibri" w:hAnsi="Cambria" w:cs="Times New Roman"/>
          <w:i/>
          <w:iCs/>
          <w:sz w:val="24"/>
          <w:szCs w:val="24"/>
        </w:rPr>
        <w:t xml:space="preserve">Br J </w:t>
      </w:r>
      <w:proofErr w:type="spellStart"/>
      <w:r w:rsidRPr="00CD2F5C">
        <w:rPr>
          <w:rFonts w:ascii="Cambria" w:eastAsia="Calibri" w:hAnsi="Cambria" w:cs="Times New Roman"/>
          <w:i/>
          <w:iCs/>
          <w:sz w:val="24"/>
          <w:szCs w:val="24"/>
        </w:rPr>
        <w:t>Anaesth</w:t>
      </w:r>
      <w:proofErr w:type="spellEnd"/>
      <w:r w:rsidRPr="00CD2F5C">
        <w:rPr>
          <w:rFonts w:ascii="Cambria" w:eastAsia="Calibri" w:hAnsi="Cambria" w:cs="Times New Roman"/>
          <w:sz w:val="24"/>
          <w:szCs w:val="24"/>
        </w:rPr>
        <w:t>. 2019 Aug;123(2</w:t>
      </w:r>
      <w:proofErr w:type="gramStart"/>
      <w:r w:rsidRPr="00CD2F5C">
        <w:rPr>
          <w:rFonts w:ascii="Cambria" w:eastAsia="Calibri" w:hAnsi="Cambria" w:cs="Times New Roman"/>
          <w:sz w:val="24"/>
          <w:szCs w:val="24"/>
        </w:rPr>
        <w:t>):e</w:t>
      </w:r>
      <w:proofErr w:type="gramEnd"/>
      <w:r w:rsidRPr="00CD2F5C">
        <w:rPr>
          <w:rFonts w:ascii="Cambria" w:eastAsia="Calibri" w:hAnsi="Cambria" w:cs="Times New Roman"/>
          <w:sz w:val="24"/>
          <w:szCs w:val="24"/>
        </w:rPr>
        <w:t>273-e283. Doi: 10.1016/j.bja.2019.03.023. </w:t>
      </w:r>
    </w:p>
    <w:p w14:paraId="40D9B674" w14:textId="77777777" w:rsidR="002D1216" w:rsidRPr="00CD2F5C" w:rsidRDefault="002D1216" w:rsidP="002B0F75">
      <w:pPr>
        <w:spacing w:line="360" w:lineRule="auto"/>
        <w:rPr>
          <w:rFonts w:ascii="Cambria" w:eastAsia="Calibri" w:hAnsi="Cambria" w:cs="Times New Roman"/>
          <w:sz w:val="24"/>
          <w:szCs w:val="24"/>
        </w:rPr>
      </w:pPr>
      <w:bookmarkStart w:id="22" w:name="_Hlk71450675"/>
      <w:r w:rsidRPr="00CD2F5C">
        <w:rPr>
          <w:rFonts w:ascii="Cambria" w:eastAsia="Calibri" w:hAnsi="Cambria" w:cs="Times New Roman"/>
          <w:sz w:val="24"/>
          <w:szCs w:val="24"/>
        </w:rPr>
        <w:t>Monnat, S. M., &amp; Chandler, R. F. (2015). Long Term Physical Health Consequences of Adverse Childhood Experiences. </w:t>
      </w:r>
      <w:r w:rsidRPr="00CD2F5C">
        <w:rPr>
          <w:rFonts w:ascii="Cambria" w:eastAsia="Calibri" w:hAnsi="Cambria" w:cs="Times New Roman"/>
          <w:i/>
          <w:iCs/>
          <w:sz w:val="24"/>
          <w:szCs w:val="24"/>
        </w:rPr>
        <w:t>The Sociological quarterly</w:t>
      </w:r>
      <w:r w:rsidRPr="00CD2F5C">
        <w:rPr>
          <w:rFonts w:ascii="Cambria" w:eastAsia="Calibri" w:hAnsi="Cambria" w:cs="Times New Roman"/>
          <w:sz w:val="24"/>
          <w:szCs w:val="24"/>
        </w:rPr>
        <w:t>, </w:t>
      </w:r>
      <w:r w:rsidRPr="00CD2F5C">
        <w:rPr>
          <w:rFonts w:ascii="Cambria" w:eastAsia="Calibri" w:hAnsi="Cambria" w:cs="Times New Roman"/>
          <w:i/>
          <w:iCs/>
          <w:sz w:val="24"/>
          <w:szCs w:val="24"/>
        </w:rPr>
        <w:t>56</w:t>
      </w:r>
      <w:r w:rsidRPr="00CD2F5C">
        <w:rPr>
          <w:rFonts w:ascii="Cambria" w:eastAsia="Calibri" w:hAnsi="Cambria" w:cs="Times New Roman"/>
          <w:sz w:val="24"/>
          <w:szCs w:val="24"/>
        </w:rPr>
        <w:t xml:space="preserve">(4), 723–752. </w:t>
      </w:r>
      <w:hyperlink r:id="rId26" w:history="1">
        <w:r w:rsidRPr="00CD2F5C">
          <w:rPr>
            <w:rFonts w:ascii="Cambria" w:eastAsia="Calibri" w:hAnsi="Cambria" w:cs="Times New Roman"/>
            <w:color w:val="0563C1"/>
            <w:sz w:val="24"/>
            <w:szCs w:val="24"/>
            <w:u w:val="single"/>
          </w:rPr>
          <w:t>https://doi.org/10.1111/tsq.12107</w:t>
        </w:r>
      </w:hyperlink>
      <w:bookmarkEnd w:id="22"/>
    </w:p>
    <w:p w14:paraId="7B394B84" w14:textId="77777777" w:rsidR="002D1216"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Morasco, B. J., Lovejoy, T. I., Lu, M., Turk, D. C., Lewis, L., &amp; </w:t>
      </w:r>
      <w:proofErr w:type="spellStart"/>
      <w:r w:rsidRPr="00CD2F5C">
        <w:rPr>
          <w:rFonts w:ascii="Cambria" w:eastAsia="Calibri" w:hAnsi="Cambria" w:cs="Times New Roman"/>
          <w:sz w:val="24"/>
          <w:szCs w:val="24"/>
        </w:rPr>
        <w:t>Dobscha</w:t>
      </w:r>
      <w:proofErr w:type="spellEnd"/>
      <w:r w:rsidRPr="00CD2F5C">
        <w:rPr>
          <w:rFonts w:ascii="Cambria" w:eastAsia="Calibri" w:hAnsi="Cambria" w:cs="Times New Roman"/>
          <w:sz w:val="24"/>
          <w:szCs w:val="24"/>
        </w:rPr>
        <w:t>, S. K. (2013). The relationship between PTSD and chronic pain: mediating role of coping strategies and depression. </w:t>
      </w:r>
      <w:r w:rsidRPr="00CD2F5C">
        <w:rPr>
          <w:rFonts w:ascii="Cambria" w:eastAsia="Calibri" w:hAnsi="Cambria" w:cs="Times New Roman"/>
          <w:i/>
          <w:iCs/>
          <w:sz w:val="24"/>
          <w:szCs w:val="24"/>
        </w:rPr>
        <w:t>Pain</w:t>
      </w:r>
      <w:r w:rsidRPr="00CD2F5C">
        <w:rPr>
          <w:rFonts w:ascii="Cambria" w:eastAsia="Calibri" w:hAnsi="Cambria" w:cs="Times New Roman"/>
          <w:sz w:val="24"/>
          <w:szCs w:val="24"/>
        </w:rPr>
        <w:t>, </w:t>
      </w:r>
      <w:r w:rsidRPr="00CD2F5C">
        <w:rPr>
          <w:rFonts w:ascii="Cambria" w:eastAsia="Calibri" w:hAnsi="Cambria" w:cs="Times New Roman"/>
          <w:i/>
          <w:iCs/>
          <w:sz w:val="24"/>
          <w:szCs w:val="24"/>
        </w:rPr>
        <w:t>154</w:t>
      </w:r>
      <w:r w:rsidRPr="00CD2F5C">
        <w:rPr>
          <w:rFonts w:ascii="Cambria" w:eastAsia="Calibri" w:hAnsi="Cambria" w:cs="Times New Roman"/>
          <w:sz w:val="24"/>
          <w:szCs w:val="24"/>
        </w:rPr>
        <w:t xml:space="preserve">(4), 609–616. </w:t>
      </w:r>
      <w:hyperlink r:id="rId27" w:history="1">
        <w:r w:rsidRPr="00CD2F5C">
          <w:rPr>
            <w:rFonts w:ascii="Cambria" w:eastAsia="Calibri" w:hAnsi="Cambria" w:cs="Times New Roman"/>
            <w:color w:val="0563C1"/>
            <w:sz w:val="24"/>
            <w:szCs w:val="24"/>
            <w:u w:val="single"/>
          </w:rPr>
          <w:t>https://doi.org/10.1016/j.pain.2013.01.001</w:t>
        </w:r>
      </w:hyperlink>
      <w:r w:rsidRPr="00CD2F5C">
        <w:rPr>
          <w:rFonts w:ascii="Cambria" w:eastAsia="Calibri" w:hAnsi="Cambria" w:cs="Times New Roman"/>
          <w:sz w:val="24"/>
          <w:szCs w:val="24"/>
        </w:rPr>
        <w:t xml:space="preserve"> </w:t>
      </w:r>
    </w:p>
    <w:p w14:paraId="50A089D8" w14:textId="5B9E15F9" w:rsidR="00A56048" w:rsidRPr="00CD2F5C" w:rsidRDefault="00A56048" w:rsidP="002B0F75">
      <w:pPr>
        <w:spacing w:line="360" w:lineRule="auto"/>
        <w:rPr>
          <w:rFonts w:ascii="Cambria" w:eastAsia="Calibri" w:hAnsi="Cambria" w:cs="Times New Roman"/>
          <w:sz w:val="24"/>
          <w:szCs w:val="24"/>
        </w:rPr>
      </w:pPr>
      <w:r w:rsidRPr="00A56048">
        <w:rPr>
          <w:rFonts w:ascii="Cambria" w:eastAsia="Calibri" w:hAnsi="Cambria" w:cs="Times New Roman"/>
          <w:sz w:val="24"/>
          <w:szCs w:val="24"/>
          <w:lang w:val="en-US"/>
        </w:rPr>
        <w:t>Morris, P., Ali, K., Merritt, M. </w:t>
      </w:r>
      <w:r w:rsidRPr="00A56048">
        <w:rPr>
          <w:rFonts w:ascii="Cambria" w:eastAsia="Calibri" w:hAnsi="Cambria" w:cs="Times New Roman"/>
          <w:i/>
          <w:iCs/>
          <w:sz w:val="24"/>
          <w:szCs w:val="24"/>
          <w:lang w:val="en-US"/>
        </w:rPr>
        <w:t>et al.</w:t>
      </w:r>
      <w:r w:rsidRPr="00A56048">
        <w:rPr>
          <w:rFonts w:ascii="Cambria" w:eastAsia="Calibri" w:hAnsi="Cambria" w:cs="Times New Roman"/>
          <w:sz w:val="24"/>
          <w:szCs w:val="24"/>
          <w:lang w:val="en-US"/>
        </w:rPr>
        <w:t> A systematic review of the role of inflammatory biomarkers in acute, subacute and chronic non-specific low back pain. </w:t>
      </w:r>
      <w:r w:rsidRPr="00A56048">
        <w:rPr>
          <w:rFonts w:ascii="Cambria" w:eastAsia="Calibri" w:hAnsi="Cambria" w:cs="Times New Roman"/>
          <w:i/>
          <w:iCs/>
          <w:sz w:val="24"/>
          <w:szCs w:val="24"/>
          <w:lang w:val="en-US"/>
        </w:rPr>
        <w:t xml:space="preserve">BMC </w:t>
      </w:r>
      <w:proofErr w:type="spellStart"/>
      <w:r w:rsidRPr="00A56048">
        <w:rPr>
          <w:rFonts w:ascii="Cambria" w:eastAsia="Calibri" w:hAnsi="Cambria" w:cs="Times New Roman"/>
          <w:i/>
          <w:iCs/>
          <w:sz w:val="24"/>
          <w:szCs w:val="24"/>
          <w:lang w:val="en-US"/>
        </w:rPr>
        <w:t>Musculoskelet</w:t>
      </w:r>
      <w:proofErr w:type="spellEnd"/>
      <w:r w:rsidRPr="00A56048">
        <w:rPr>
          <w:rFonts w:ascii="Cambria" w:eastAsia="Calibri" w:hAnsi="Cambria" w:cs="Times New Roman"/>
          <w:i/>
          <w:iCs/>
          <w:sz w:val="24"/>
          <w:szCs w:val="24"/>
          <w:lang w:val="en-US"/>
        </w:rPr>
        <w:t xml:space="preserve"> </w:t>
      </w:r>
      <w:proofErr w:type="spellStart"/>
      <w:r w:rsidRPr="00A56048">
        <w:rPr>
          <w:rFonts w:ascii="Cambria" w:eastAsia="Calibri" w:hAnsi="Cambria" w:cs="Times New Roman"/>
          <w:i/>
          <w:iCs/>
          <w:sz w:val="24"/>
          <w:szCs w:val="24"/>
          <w:lang w:val="en-US"/>
        </w:rPr>
        <w:t>Disord</w:t>
      </w:r>
      <w:proofErr w:type="spellEnd"/>
      <w:r w:rsidRPr="00A56048">
        <w:rPr>
          <w:rFonts w:ascii="Cambria" w:eastAsia="Calibri" w:hAnsi="Cambria" w:cs="Times New Roman"/>
          <w:sz w:val="24"/>
          <w:szCs w:val="24"/>
          <w:lang w:val="en-US"/>
        </w:rPr>
        <w:t> 21, 142 (2020).</w:t>
      </w:r>
    </w:p>
    <w:p w14:paraId="6012FCD0" w14:textId="77777777" w:rsidR="002D1216" w:rsidRPr="00CD2F5C" w:rsidRDefault="002D1216" w:rsidP="002B0F75">
      <w:pPr>
        <w:spacing w:line="360" w:lineRule="auto"/>
        <w:rPr>
          <w:rFonts w:ascii="Cambria" w:eastAsia="Calibri" w:hAnsi="Cambria" w:cs="Times New Roman"/>
          <w:color w:val="0563C1"/>
          <w:sz w:val="24"/>
          <w:szCs w:val="24"/>
          <w:u w:val="single"/>
        </w:rPr>
      </w:pPr>
      <w:r w:rsidRPr="00CD2F5C">
        <w:rPr>
          <w:rFonts w:ascii="Cambria" w:eastAsia="Calibri" w:hAnsi="Cambria" w:cs="Times New Roman"/>
          <w:sz w:val="24"/>
          <w:szCs w:val="24"/>
        </w:rPr>
        <w:t xml:space="preserve">Muniz Carvalho, C., Wendt, F.R., </w:t>
      </w:r>
      <w:proofErr w:type="spellStart"/>
      <w:r w:rsidRPr="00CD2F5C">
        <w:rPr>
          <w:rFonts w:ascii="Cambria" w:eastAsia="Calibri" w:hAnsi="Cambria" w:cs="Times New Roman"/>
          <w:sz w:val="24"/>
          <w:szCs w:val="24"/>
        </w:rPr>
        <w:t>Maihofer</w:t>
      </w:r>
      <w:proofErr w:type="spellEnd"/>
      <w:r w:rsidRPr="00CD2F5C">
        <w:rPr>
          <w:rFonts w:ascii="Cambria" w:eastAsia="Calibri" w:hAnsi="Cambria" w:cs="Times New Roman"/>
          <w:sz w:val="24"/>
          <w:szCs w:val="24"/>
        </w:rPr>
        <w:t>, A.X. </w:t>
      </w:r>
      <w:r w:rsidRPr="00CD2F5C">
        <w:rPr>
          <w:rFonts w:ascii="Cambria" w:eastAsia="Calibri" w:hAnsi="Cambria" w:cs="Times New Roman"/>
          <w:i/>
          <w:iCs/>
          <w:sz w:val="24"/>
          <w:szCs w:val="24"/>
        </w:rPr>
        <w:t>et al.</w:t>
      </w:r>
      <w:r w:rsidRPr="00CD2F5C">
        <w:rPr>
          <w:rFonts w:ascii="Cambria" w:eastAsia="Calibri" w:hAnsi="Cambria" w:cs="Times New Roman"/>
          <w:sz w:val="24"/>
          <w:szCs w:val="24"/>
        </w:rPr>
        <w:t> Dissecting the genetic association of C-reactive protein with PTSD, traumatic events, and social support. </w:t>
      </w:r>
      <w:proofErr w:type="spellStart"/>
      <w:r w:rsidRPr="00CD2F5C">
        <w:rPr>
          <w:rFonts w:ascii="Cambria" w:eastAsia="Calibri" w:hAnsi="Cambria" w:cs="Times New Roman"/>
          <w:i/>
          <w:iCs/>
          <w:sz w:val="24"/>
          <w:szCs w:val="24"/>
        </w:rPr>
        <w:t>Neuropsychopharmacol</w:t>
      </w:r>
      <w:proofErr w:type="spellEnd"/>
      <w:r w:rsidRPr="00CD2F5C">
        <w:rPr>
          <w:rFonts w:ascii="Cambria" w:eastAsia="Calibri" w:hAnsi="Cambria" w:cs="Times New Roman"/>
          <w:i/>
          <w:iCs/>
          <w:sz w:val="24"/>
          <w:szCs w:val="24"/>
        </w:rPr>
        <w:t>.</w:t>
      </w:r>
      <w:r w:rsidRPr="00CD2F5C">
        <w:rPr>
          <w:rFonts w:ascii="Cambria" w:eastAsia="Calibri" w:hAnsi="Cambria" w:cs="Times New Roman"/>
          <w:sz w:val="24"/>
          <w:szCs w:val="24"/>
        </w:rPr>
        <w:t> </w:t>
      </w:r>
      <w:r w:rsidRPr="00CD2F5C">
        <w:rPr>
          <w:rFonts w:ascii="Cambria" w:eastAsia="Calibri" w:hAnsi="Cambria" w:cs="Times New Roman"/>
          <w:b/>
          <w:bCs/>
          <w:sz w:val="24"/>
          <w:szCs w:val="24"/>
        </w:rPr>
        <w:t>46, </w:t>
      </w:r>
      <w:r w:rsidRPr="00CD2F5C">
        <w:rPr>
          <w:rFonts w:ascii="Cambria" w:eastAsia="Calibri" w:hAnsi="Cambria" w:cs="Times New Roman"/>
          <w:sz w:val="24"/>
          <w:szCs w:val="24"/>
        </w:rPr>
        <w:t xml:space="preserve">1071–1077 (2021). </w:t>
      </w:r>
      <w:hyperlink r:id="rId28" w:history="1">
        <w:r w:rsidRPr="00CD2F5C">
          <w:rPr>
            <w:rFonts w:ascii="Cambria" w:eastAsia="Calibri" w:hAnsi="Cambria" w:cs="Times New Roman"/>
            <w:color w:val="0563C1"/>
            <w:sz w:val="24"/>
            <w:szCs w:val="24"/>
            <w:u w:val="single"/>
          </w:rPr>
          <w:t>https://doi.org/10.1038/s41386-020-0655-6</w:t>
        </w:r>
      </w:hyperlink>
      <w:r w:rsidRPr="00CD2F5C">
        <w:rPr>
          <w:rFonts w:ascii="Cambria" w:eastAsia="Calibri" w:hAnsi="Cambria" w:cs="Times New Roman"/>
          <w:color w:val="0563C1"/>
          <w:sz w:val="24"/>
          <w:szCs w:val="24"/>
          <w:u w:val="single"/>
        </w:rPr>
        <w:t>.</w:t>
      </w:r>
    </w:p>
    <w:p w14:paraId="5379AD20"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lastRenderedPageBreak/>
        <w:t>Nahin RL. Estimates of pain prevalence and severity in adults: United states, 2012. </w:t>
      </w:r>
      <w:r w:rsidRPr="00CD2F5C">
        <w:rPr>
          <w:rFonts w:ascii="Cambria" w:eastAsia="Calibri" w:hAnsi="Cambria" w:cs="Times New Roman"/>
          <w:i/>
          <w:iCs/>
          <w:sz w:val="24"/>
          <w:szCs w:val="24"/>
        </w:rPr>
        <w:t>J Pain</w:t>
      </w:r>
      <w:r w:rsidRPr="00CD2F5C">
        <w:rPr>
          <w:rFonts w:ascii="Cambria" w:eastAsia="Calibri" w:hAnsi="Cambria" w:cs="Times New Roman"/>
          <w:sz w:val="24"/>
          <w:szCs w:val="24"/>
        </w:rPr>
        <w:t>. 2015; 16:769-780.</w:t>
      </w:r>
    </w:p>
    <w:p w14:paraId="7DF37E3C"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National Conference of State Legislators (NCSL). (2021). Adverse Childhood Experiences. </w:t>
      </w:r>
      <w:hyperlink r:id="rId29" w:history="1">
        <w:r w:rsidRPr="00CD2F5C">
          <w:rPr>
            <w:rFonts w:ascii="Cambria" w:eastAsia="Calibri" w:hAnsi="Cambria" w:cs="Times New Roman"/>
            <w:color w:val="0563C1"/>
            <w:sz w:val="24"/>
            <w:szCs w:val="24"/>
            <w:u w:val="single"/>
          </w:rPr>
          <w:t>https://www.ncsl.org/research/health/adverse-childhood-experiences-aces.aspx</w:t>
        </w:r>
      </w:hyperlink>
      <w:r w:rsidRPr="00CD2F5C">
        <w:rPr>
          <w:rFonts w:ascii="Cambria" w:eastAsia="Calibri" w:hAnsi="Cambria" w:cs="Times New Roman"/>
          <w:color w:val="0563C1"/>
          <w:sz w:val="24"/>
          <w:szCs w:val="24"/>
          <w:u w:val="single"/>
        </w:rPr>
        <w:t>.</w:t>
      </w:r>
      <w:r w:rsidRPr="00CD2F5C">
        <w:rPr>
          <w:rFonts w:ascii="Cambria" w:eastAsia="Calibri" w:hAnsi="Cambria" w:cs="Times New Roman"/>
          <w:sz w:val="24"/>
          <w:szCs w:val="24"/>
        </w:rPr>
        <w:t xml:space="preserve"> </w:t>
      </w:r>
    </w:p>
    <w:p w14:paraId="013ECD4B"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Nelson S, Beveridge JK, </w:t>
      </w:r>
      <w:proofErr w:type="spellStart"/>
      <w:r w:rsidRPr="00CD2F5C">
        <w:rPr>
          <w:rFonts w:ascii="Cambria" w:eastAsia="Calibri" w:hAnsi="Cambria" w:cs="Times New Roman"/>
          <w:sz w:val="24"/>
          <w:szCs w:val="24"/>
        </w:rPr>
        <w:t>Mychasiuk</w:t>
      </w:r>
      <w:proofErr w:type="spellEnd"/>
      <w:r w:rsidRPr="00CD2F5C">
        <w:rPr>
          <w:rFonts w:ascii="Cambria" w:eastAsia="Calibri" w:hAnsi="Cambria" w:cs="Times New Roman"/>
          <w:sz w:val="24"/>
          <w:szCs w:val="24"/>
        </w:rPr>
        <w:t xml:space="preserve"> R, Noel M. (2021). Adverse Childhood Experiences (ACEs) and Internalizing Mental Health, Pain, and Quality of Life in Youth </w:t>
      </w:r>
      <w:proofErr w:type="gramStart"/>
      <w:r w:rsidRPr="00CD2F5C">
        <w:rPr>
          <w:rFonts w:ascii="Cambria" w:eastAsia="Calibri" w:hAnsi="Cambria" w:cs="Times New Roman"/>
          <w:sz w:val="24"/>
          <w:szCs w:val="24"/>
        </w:rPr>
        <w:t>With</w:t>
      </w:r>
      <w:proofErr w:type="gramEnd"/>
      <w:r w:rsidRPr="00CD2F5C">
        <w:rPr>
          <w:rFonts w:ascii="Cambria" w:eastAsia="Calibri" w:hAnsi="Cambria" w:cs="Times New Roman"/>
          <w:sz w:val="24"/>
          <w:szCs w:val="24"/>
        </w:rPr>
        <w:t xml:space="preserve"> Chronic Pain: A Longitudinal Examination. J Pain. Mar 31: S1526-5900(21)00184-X. </w:t>
      </w:r>
      <w:proofErr w:type="spellStart"/>
      <w:r w:rsidRPr="00CD2F5C">
        <w:rPr>
          <w:rFonts w:ascii="Cambria" w:eastAsia="Calibri" w:hAnsi="Cambria" w:cs="Times New Roman"/>
          <w:sz w:val="24"/>
          <w:szCs w:val="24"/>
        </w:rPr>
        <w:t>doi</w:t>
      </w:r>
      <w:proofErr w:type="spellEnd"/>
      <w:r w:rsidRPr="00CD2F5C">
        <w:rPr>
          <w:rFonts w:ascii="Cambria" w:eastAsia="Calibri" w:hAnsi="Cambria" w:cs="Times New Roman"/>
          <w:sz w:val="24"/>
          <w:szCs w:val="24"/>
        </w:rPr>
        <w:t>: 10.1016/j.jpain.2021.03.143.</w:t>
      </w:r>
    </w:p>
    <w:p w14:paraId="615675B5"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Oliveira LC, </w:t>
      </w:r>
      <w:proofErr w:type="spellStart"/>
      <w:r w:rsidRPr="00CD2F5C">
        <w:rPr>
          <w:rFonts w:ascii="Cambria" w:eastAsia="Calibri" w:hAnsi="Cambria" w:cs="Times New Roman"/>
          <w:sz w:val="24"/>
          <w:szCs w:val="24"/>
        </w:rPr>
        <w:t>Wirowski</w:t>
      </w:r>
      <w:proofErr w:type="spellEnd"/>
      <w:r w:rsidRPr="00CD2F5C">
        <w:rPr>
          <w:rFonts w:ascii="Cambria" w:eastAsia="Calibri" w:hAnsi="Cambria" w:cs="Times New Roman"/>
          <w:sz w:val="24"/>
          <w:szCs w:val="24"/>
        </w:rPr>
        <w:t xml:space="preserve"> N, Souza PB, Lobato AS, Jansen K, de Azevedo Cardoso T, Mondin TC, Oses JP, </w:t>
      </w:r>
      <w:proofErr w:type="spellStart"/>
      <w:r w:rsidRPr="00CD2F5C">
        <w:rPr>
          <w:rFonts w:ascii="Cambria" w:eastAsia="Calibri" w:hAnsi="Cambria" w:cs="Times New Roman"/>
          <w:sz w:val="24"/>
          <w:szCs w:val="24"/>
        </w:rPr>
        <w:t>Kapczinski</w:t>
      </w:r>
      <w:proofErr w:type="spellEnd"/>
      <w:r w:rsidRPr="00CD2F5C">
        <w:rPr>
          <w:rFonts w:ascii="Cambria" w:eastAsia="Calibri" w:hAnsi="Cambria" w:cs="Times New Roman"/>
          <w:sz w:val="24"/>
          <w:szCs w:val="24"/>
        </w:rPr>
        <w:t xml:space="preserve"> F, Souza LDM, Azevedo da Silva R, Pedrotti Moreira F. Childhood trauma, inflammatory biomarkers and the presence of a current depressive episode: Is there a relationship in subjects from a population study? </w:t>
      </w:r>
      <w:r w:rsidRPr="00CD2F5C">
        <w:rPr>
          <w:rFonts w:ascii="Cambria" w:eastAsia="Calibri" w:hAnsi="Cambria" w:cs="Times New Roman"/>
          <w:i/>
          <w:iCs/>
          <w:sz w:val="24"/>
          <w:szCs w:val="24"/>
        </w:rPr>
        <w:t xml:space="preserve">J </w:t>
      </w:r>
      <w:proofErr w:type="spellStart"/>
      <w:r w:rsidRPr="00CD2F5C">
        <w:rPr>
          <w:rFonts w:ascii="Cambria" w:eastAsia="Calibri" w:hAnsi="Cambria" w:cs="Times New Roman"/>
          <w:i/>
          <w:iCs/>
          <w:sz w:val="24"/>
          <w:szCs w:val="24"/>
        </w:rPr>
        <w:t>Psychiatr</w:t>
      </w:r>
      <w:proofErr w:type="spellEnd"/>
      <w:r w:rsidRPr="00CD2F5C">
        <w:rPr>
          <w:rFonts w:ascii="Cambria" w:eastAsia="Calibri" w:hAnsi="Cambria" w:cs="Times New Roman"/>
          <w:i/>
          <w:iCs/>
          <w:sz w:val="24"/>
          <w:szCs w:val="24"/>
        </w:rPr>
        <w:t xml:space="preserve"> Res</w:t>
      </w:r>
      <w:r w:rsidRPr="00CD2F5C">
        <w:rPr>
          <w:rFonts w:ascii="Cambria" w:eastAsia="Calibri" w:hAnsi="Cambria" w:cs="Times New Roman"/>
          <w:sz w:val="24"/>
          <w:szCs w:val="24"/>
        </w:rPr>
        <w:t>. 2023 Feb; 158:255-260. Doi: 10.1016/j.jpsychires.2022.12.047.</w:t>
      </w:r>
    </w:p>
    <w:p w14:paraId="4CEE9B30"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t>Olugbade</w:t>
      </w:r>
      <w:proofErr w:type="spellEnd"/>
      <w:r w:rsidRPr="00CD2F5C">
        <w:rPr>
          <w:rFonts w:ascii="Cambria" w:eastAsia="Calibri" w:hAnsi="Cambria" w:cs="Times New Roman"/>
          <w:sz w:val="24"/>
          <w:szCs w:val="24"/>
        </w:rPr>
        <w:t>, T., Bianchi‐</w:t>
      </w:r>
      <w:proofErr w:type="spellStart"/>
      <w:r w:rsidRPr="00CD2F5C">
        <w:rPr>
          <w:rFonts w:ascii="Cambria" w:eastAsia="Calibri" w:hAnsi="Cambria" w:cs="Times New Roman"/>
          <w:sz w:val="24"/>
          <w:szCs w:val="24"/>
        </w:rPr>
        <w:t>Berthouze</w:t>
      </w:r>
      <w:proofErr w:type="spellEnd"/>
      <w:r w:rsidRPr="00CD2F5C">
        <w:rPr>
          <w:rFonts w:ascii="Cambria" w:eastAsia="Calibri" w:hAnsi="Cambria" w:cs="Times New Roman"/>
          <w:sz w:val="24"/>
          <w:szCs w:val="24"/>
        </w:rPr>
        <w:t xml:space="preserve">, N., &amp; Williams, A. (2019). The relationship between guarding, pain, and emotion. </w:t>
      </w:r>
      <w:r w:rsidRPr="00CD2F5C">
        <w:rPr>
          <w:rFonts w:ascii="Cambria" w:eastAsia="Calibri" w:hAnsi="Cambria" w:cs="Times New Roman"/>
          <w:i/>
          <w:iCs/>
          <w:sz w:val="24"/>
          <w:szCs w:val="24"/>
        </w:rPr>
        <w:t>Pain reports</w:t>
      </w:r>
      <w:r w:rsidRPr="00CD2F5C">
        <w:rPr>
          <w:rFonts w:ascii="Cambria" w:eastAsia="Calibri" w:hAnsi="Cambria" w:cs="Times New Roman"/>
          <w:sz w:val="24"/>
          <w:szCs w:val="24"/>
        </w:rPr>
        <w:t xml:space="preserve">, </w:t>
      </w:r>
      <w:r w:rsidRPr="00CD2F5C">
        <w:rPr>
          <w:rFonts w:ascii="Cambria" w:eastAsia="Calibri" w:hAnsi="Cambria" w:cs="Times New Roman"/>
          <w:i/>
          <w:iCs/>
          <w:sz w:val="24"/>
          <w:szCs w:val="24"/>
        </w:rPr>
        <w:t>4</w:t>
      </w:r>
      <w:r w:rsidRPr="00CD2F5C">
        <w:rPr>
          <w:rFonts w:ascii="Cambria" w:eastAsia="Calibri" w:hAnsi="Cambria" w:cs="Times New Roman"/>
          <w:sz w:val="24"/>
          <w:szCs w:val="24"/>
        </w:rPr>
        <w:t xml:space="preserve">(4), e770. Doi:10.1097/PR9.0000000000000770.  </w:t>
      </w:r>
    </w:p>
    <w:p w14:paraId="78C45E18" w14:textId="4D6E3E16" w:rsidR="002D1216" w:rsidRDefault="002D1216" w:rsidP="002B0F75">
      <w:pPr>
        <w:spacing w:line="360" w:lineRule="auto"/>
        <w:rPr>
          <w:rFonts w:ascii="Cambria" w:eastAsia="Calibri" w:hAnsi="Cambria" w:cs="Times New Roman"/>
          <w:color w:val="0563C1"/>
          <w:sz w:val="24"/>
          <w:szCs w:val="24"/>
          <w:u w:val="single"/>
        </w:rPr>
      </w:pPr>
      <w:r w:rsidRPr="00CD2F5C">
        <w:rPr>
          <w:rFonts w:ascii="Cambria" w:eastAsia="Calibri" w:hAnsi="Cambria" w:cs="Times New Roman"/>
          <w:sz w:val="24"/>
          <w:szCs w:val="24"/>
        </w:rPr>
        <w:t xml:space="preserve">Phillips JK, Ford MA, Bonnie RJ, editors. (2017). Pain Management and the Opioid Epidemic: Balancing Societal and Individual Benefits and Risks of Prescription Opioid Use. Washington (DC): National Academies Press (US); 4, Trends in Opioid Use, Harms, and Treatment. Available from: </w:t>
      </w:r>
      <w:hyperlink r:id="rId30" w:history="1">
        <w:r w:rsidRPr="00CD2F5C">
          <w:rPr>
            <w:rFonts w:ascii="Cambria" w:eastAsia="Calibri" w:hAnsi="Cambria" w:cs="Times New Roman"/>
            <w:color w:val="0563C1"/>
            <w:sz w:val="24"/>
            <w:szCs w:val="24"/>
            <w:u w:val="single"/>
          </w:rPr>
          <w:t>https://www.ncbi.nlm.nih.gov/books/NBK458661</w:t>
        </w:r>
      </w:hyperlink>
      <w:r w:rsidR="00265F53">
        <w:rPr>
          <w:rFonts w:ascii="Cambria" w:eastAsia="Calibri" w:hAnsi="Cambria" w:cs="Times New Roman"/>
          <w:color w:val="0563C1"/>
          <w:sz w:val="24"/>
          <w:szCs w:val="24"/>
        </w:rPr>
        <w:t>.</w:t>
      </w:r>
    </w:p>
    <w:p w14:paraId="1847939D" w14:textId="269E011C" w:rsidR="00265F53" w:rsidRPr="004447E8" w:rsidRDefault="00265F53" w:rsidP="002B0F75">
      <w:pPr>
        <w:spacing w:line="360" w:lineRule="auto"/>
        <w:rPr>
          <w:rFonts w:ascii="Cambria" w:eastAsia="Calibri" w:hAnsi="Cambria" w:cs="Times New Roman"/>
          <w:sz w:val="24"/>
          <w:szCs w:val="24"/>
        </w:rPr>
      </w:pPr>
      <w:r w:rsidRPr="004447E8">
        <w:rPr>
          <w:rFonts w:ascii="Cambria" w:eastAsia="Calibri" w:hAnsi="Cambria" w:cs="Times New Roman"/>
          <w:sz w:val="24"/>
          <w:szCs w:val="24"/>
        </w:rPr>
        <w:t xml:space="preserve">Remes O, Mendes JF, Templeton P. Biological, Psychological, and Social Determinants of Depression: A Review of Recent Literature. </w:t>
      </w:r>
      <w:r w:rsidRPr="004447E8">
        <w:rPr>
          <w:rFonts w:ascii="Cambria" w:eastAsia="Calibri" w:hAnsi="Cambria" w:cs="Times New Roman"/>
          <w:i/>
          <w:iCs/>
          <w:sz w:val="24"/>
          <w:szCs w:val="24"/>
        </w:rPr>
        <w:t>Brain Sci</w:t>
      </w:r>
      <w:r w:rsidRPr="004447E8">
        <w:rPr>
          <w:rFonts w:ascii="Cambria" w:eastAsia="Calibri" w:hAnsi="Cambria" w:cs="Times New Roman"/>
          <w:sz w:val="24"/>
          <w:szCs w:val="24"/>
        </w:rPr>
        <w:t xml:space="preserve">. 2021 Dec 10;11(12):1633. </w:t>
      </w:r>
      <w:proofErr w:type="spellStart"/>
      <w:r w:rsidRPr="004447E8">
        <w:rPr>
          <w:rFonts w:ascii="Cambria" w:eastAsia="Calibri" w:hAnsi="Cambria" w:cs="Times New Roman"/>
          <w:sz w:val="24"/>
          <w:szCs w:val="24"/>
        </w:rPr>
        <w:t>doi</w:t>
      </w:r>
      <w:proofErr w:type="spellEnd"/>
      <w:r w:rsidRPr="004447E8">
        <w:rPr>
          <w:rFonts w:ascii="Cambria" w:eastAsia="Calibri" w:hAnsi="Cambria" w:cs="Times New Roman"/>
          <w:sz w:val="24"/>
          <w:szCs w:val="24"/>
        </w:rPr>
        <w:t>: 10.3390/brainsci11121633. </w:t>
      </w:r>
    </w:p>
    <w:p w14:paraId="205AC0DF" w14:textId="78B36FE9"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Rice K, Ryu JE, Whitehead C, Katz J, Webster F. Medical Trainees' Experiences of Treating People </w:t>
      </w:r>
      <w:proofErr w:type="gramStart"/>
      <w:r w:rsidRPr="00CD2F5C">
        <w:rPr>
          <w:rFonts w:ascii="Cambria" w:eastAsia="Calibri" w:hAnsi="Cambria" w:cs="Times New Roman"/>
          <w:sz w:val="24"/>
          <w:szCs w:val="24"/>
        </w:rPr>
        <w:t>With</w:t>
      </w:r>
      <w:proofErr w:type="gramEnd"/>
      <w:r w:rsidRPr="00CD2F5C">
        <w:rPr>
          <w:rFonts w:ascii="Cambria" w:eastAsia="Calibri" w:hAnsi="Cambria" w:cs="Times New Roman"/>
          <w:sz w:val="24"/>
          <w:szCs w:val="24"/>
        </w:rPr>
        <w:t xml:space="preserve"> Chronic Pain: A Lost Opportunity for Medical Education. </w:t>
      </w:r>
      <w:proofErr w:type="spellStart"/>
      <w:r w:rsidRPr="00CD2F5C">
        <w:rPr>
          <w:rFonts w:ascii="Cambria" w:eastAsia="Calibri" w:hAnsi="Cambria" w:cs="Times New Roman"/>
          <w:i/>
          <w:iCs/>
          <w:sz w:val="24"/>
          <w:szCs w:val="24"/>
        </w:rPr>
        <w:t>Acad</w:t>
      </w:r>
      <w:proofErr w:type="spellEnd"/>
      <w:r w:rsidRPr="00CD2F5C">
        <w:rPr>
          <w:rFonts w:ascii="Cambria" w:eastAsia="Calibri" w:hAnsi="Cambria" w:cs="Times New Roman"/>
          <w:i/>
          <w:iCs/>
          <w:sz w:val="24"/>
          <w:szCs w:val="24"/>
        </w:rPr>
        <w:t xml:space="preserve"> Med.</w:t>
      </w:r>
      <w:r w:rsidRPr="00CD2F5C">
        <w:rPr>
          <w:rFonts w:ascii="Cambria" w:eastAsia="Calibri" w:hAnsi="Cambria" w:cs="Times New Roman"/>
          <w:sz w:val="24"/>
          <w:szCs w:val="24"/>
        </w:rPr>
        <w:t xml:space="preserve"> 2018 May;93(5):775-780.</w:t>
      </w:r>
    </w:p>
    <w:p w14:paraId="54A5F21E"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lastRenderedPageBreak/>
        <w:t xml:space="preserve">Robinson OJ, Vytal K, Cornwell BR, </w:t>
      </w:r>
      <w:proofErr w:type="spellStart"/>
      <w:r w:rsidRPr="00CD2F5C">
        <w:rPr>
          <w:rFonts w:ascii="Cambria" w:eastAsia="Calibri" w:hAnsi="Cambria" w:cs="Times New Roman"/>
          <w:sz w:val="24"/>
          <w:szCs w:val="24"/>
        </w:rPr>
        <w:t>Grillon</w:t>
      </w:r>
      <w:proofErr w:type="spellEnd"/>
      <w:r w:rsidRPr="00CD2F5C">
        <w:rPr>
          <w:rFonts w:ascii="Cambria" w:eastAsia="Calibri" w:hAnsi="Cambria" w:cs="Times New Roman"/>
          <w:sz w:val="24"/>
          <w:szCs w:val="24"/>
        </w:rPr>
        <w:t xml:space="preserve"> C. The impact of anxiety upon cognition: perspectives from human threat of shock studies. </w:t>
      </w:r>
      <w:r w:rsidRPr="00CD2F5C">
        <w:rPr>
          <w:rFonts w:ascii="Cambria" w:eastAsia="Calibri" w:hAnsi="Cambria" w:cs="Times New Roman"/>
          <w:i/>
          <w:iCs/>
          <w:sz w:val="24"/>
          <w:szCs w:val="24"/>
        </w:rPr>
        <w:t xml:space="preserve">Front Hum </w:t>
      </w:r>
      <w:proofErr w:type="spellStart"/>
      <w:r w:rsidRPr="00CD2F5C">
        <w:rPr>
          <w:rFonts w:ascii="Cambria" w:eastAsia="Calibri" w:hAnsi="Cambria" w:cs="Times New Roman"/>
          <w:i/>
          <w:iCs/>
          <w:sz w:val="24"/>
          <w:szCs w:val="24"/>
        </w:rPr>
        <w:t>Neurosci</w:t>
      </w:r>
      <w:proofErr w:type="spellEnd"/>
      <w:r w:rsidRPr="00CD2F5C">
        <w:rPr>
          <w:rFonts w:ascii="Cambria" w:eastAsia="Calibri" w:hAnsi="Cambria" w:cs="Times New Roman"/>
          <w:sz w:val="24"/>
          <w:szCs w:val="24"/>
        </w:rPr>
        <w:t>. 2013; 7:203. Published 2013 May 17. doi:10.3389/fnhum.2013.00203</w:t>
      </w:r>
    </w:p>
    <w:p w14:paraId="7D465132"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Sakamoto, Y., Oka, T., Amari, T., and Simo, S. (2019). Factors Affecting Psychological Stress in Healthcare Workers with and without Chronic Pain: A Cross‐Sectional Study Using Multiple Regression Analysis. </w:t>
      </w:r>
      <w:r w:rsidRPr="00CD2F5C">
        <w:rPr>
          <w:rFonts w:ascii="Cambria" w:eastAsia="Calibri" w:hAnsi="Cambria" w:cs="Times New Roman"/>
          <w:i/>
          <w:iCs/>
          <w:sz w:val="24"/>
          <w:szCs w:val="24"/>
        </w:rPr>
        <w:t>Medicina</w:t>
      </w:r>
      <w:r w:rsidRPr="00CD2F5C">
        <w:rPr>
          <w:rFonts w:ascii="Cambria" w:eastAsia="Calibri" w:hAnsi="Cambria" w:cs="Times New Roman"/>
          <w:sz w:val="24"/>
          <w:szCs w:val="24"/>
        </w:rPr>
        <w:t xml:space="preserve">, 55(10), 652; </w:t>
      </w:r>
      <w:hyperlink r:id="rId31" w:history="1">
        <w:r w:rsidRPr="00CD2F5C">
          <w:rPr>
            <w:rStyle w:val="Hyperlink"/>
            <w:rFonts w:ascii="Cambria" w:eastAsia="Calibri" w:hAnsi="Cambria" w:cs="Times New Roman"/>
            <w:sz w:val="24"/>
            <w:szCs w:val="24"/>
          </w:rPr>
          <w:t>https://doi.org/10.3390/medicina55100652</w:t>
        </w:r>
      </w:hyperlink>
      <w:r w:rsidRPr="00CD2F5C">
        <w:rPr>
          <w:rFonts w:ascii="Cambria" w:eastAsia="Calibri" w:hAnsi="Cambria" w:cs="Times New Roman"/>
          <w:sz w:val="24"/>
          <w:szCs w:val="24"/>
        </w:rPr>
        <w:t xml:space="preserve">. </w:t>
      </w:r>
    </w:p>
    <w:p w14:paraId="0DA5E560"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t>Sauver</w:t>
      </w:r>
      <w:proofErr w:type="spellEnd"/>
      <w:r w:rsidRPr="00CD2F5C">
        <w:rPr>
          <w:rFonts w:ascii="Cambria" w:eastAsia="Calibri" w:hAnsi="Cambria" w:cs="Times New Roman"/>
          <w:sz w:val="24"/>
          <w:szCs w:val="24"/>
        </w:rPr>
        <w:t xml:space="preserve"> JL St, Warner DO, Yawn BP, et al. Why patients visit their doctors: assessing the most prevalent conditions in a defined American population. </w:t>
      </w:r>
      <w:r w:rsidRPr="00CD2F5C">
        <w:rPr>
          <w:rFonts w:ascii="Cambria" w:eastAsia="Calibri" w:hAnsi="Cambria" w:cs="Times New Roman"/>
          <w:i/>
          <w:iCs/>
          <w:sz w:val="24"/>
          <w:szCs w:val="24"/>
        </w:rPr>
        <w:t>Mayo Clin Proc</w:t>
      </w:r>
      <w:r w:rsidRPr="00CD2F5C">
        <w:rPr>
          <w:rFonts w:ascii="Cambria" w:eastAsia="Calibri" w:hAnsi="Cambria" w:cs="Times New Roman"/>
          <w:sz w:val="24"/>
          <w:szCs w:val="24"/>
        </w:rPr>
        <w:t>, 88 (2013), pp. 56-67.</w:t>
      </w:r>
    </w:p>
    <w:p w14:paraId="305D513E"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Schneiderman N, </w:t>
      </w:r>
      <w:proofErr w:type="spellStart"/>
      <w:r w:rsidRPr="00CD2F5C">
        <w:rPr>
          <w:rFonts w:ascii="Cambria" w:eastAsia="Calibri" w:hAnsi="Cambria" w:cs="Times New Roman"/>
          <w:sz w:val="24"/>
          <w:szCs w:val="24"/>
        </w:rPr>
        <w:t>Ironson</w:t>
      </w:r>
      <w:proofErr w:type="spellEnd"/>
      <w:r w:rsidRPr="00CD2F5C">
        <w:rPr>
          <w:rFonts w:ascii="Cambria" w:eastAsia="Calibri" w:hAnsi="Cambria" w:cs="Times New Roman"/>
          <w:sz w:val="24"/>
          <w:szCs w:val="24"/>
        </w:rPr>
        <w:t xml:space="preserve"> G, Siegel SD. Stress and health: psychological, </w:t>
      </w:r>
      <w:proofErr w:type="spellStart"/>
      <w:r w:rsidRPr="00CD2F5C">
        <w:rPr>
          <w:rFonts w:ascii="Cambria" w:eastAsia="Calibri" w:hAnsi="Cambria" w:cs="Times New Roman"/>
          <w:sz w:val="24"/>
          <w:szCs w:val="24"/>
        </w:rPr>
        <w:t>behavioral</w:t>
      </w:r>
      <w:proofErr w:type="spellEnd"/>
      <w:r w:rsidRPr="00CD2F5C">
        <w:rPr>
          <w:rFonts w:ascii="Cambria" w:eastAsia="Calibri" w:hAnsi="Cambria" w:cs="Times New Roman"/>
          <w:sz w:val="24"/>
          <w:szCs w:val="24"/>
        </w:rPr>
        <w:t xml:space="preserve">, and biological determinants. </w:t>
      </w:r>
      <w:r w:rsidRPr="00CD2F5C">
        <w:rPr>
          <w:rFonts w:ascii="Cambria" w:eastAsia="Calibri" w:hAnsi="Cambria" w:cs="Times New Roman"/>
          <w:i/>
          <w:iCs/>
          <w:sz w:val="24"/>
          <w:szCs w:val="24"/>
        </w:rPr>
        <w:t>Annu Rev Clin Psychol</w:t>
      </w:r>
      <w:r w:rsidRPr="00CD2F5C">
        <w:rPr>
          <w:rFonts w:ascii="Cambria" w:eastAsia="Calibri" w:hAnsi="Cambria" w:cs="Times New Roman"/>
          <w:sz w:val="24"/>
          <w:szCs w:val="24"/>
        </w:rPr>
        <w:t xml:space="preserve">. </w:t>
      </w:r>
      <w:proofErr w:type="gramStart"/>
      <w:r w:rsidRPr="00CD2F5C">
        <w:rPr>
          <w:rFonts w:ascii="Cambria" w:eastAsia="Calibri" w:hAnsi="Cambria" w:cs="Times New Roman"/>
          <w:sz w:val="24"/>
          <w:szCs w:val="24"/>
        </w:rPr>
        <w:t>2005;1:607</w:t>
      </w:r>
      <w:proofErr w:type="gramEnd"/>
      <w:r w:rsidRPr="00CD2F5C">
        <w:rPr>
          <w:rFonts w:ascii="Cambria" w:eastAsia="Calibri" w:hAnsi="Cambria" w:cs="Times New Roman"/>
          <w:sz w:val="24"/>
          <w:szCs w:val="24"/>
        </w:rPr>
        <w:t>-28. </w:t>
      </w:r>
    </w:p>
    <w:p w14:paraId="0702884D" w14:textId="77777777" w:rsidR="002D1216" w:rsidRPr="00CD2F5C" w:rsidRDefault="002D1216" w:rsidP="002B0F75">
      <w:pPr>
        <w:spacing w:line="360" w:lineRule="auto"/>
        <w:rPr>
          <w:rFonts w:ascii="Cambria" w:eastAsia="Calibri" w:hAnsi="Cambria" w:cs="Times New Roman"/>
          <w:sz w:val="24"/>
          <w:szCs w:val="24"/>
        </w:rPr>
      </w:pPr>
      <w:bookmarkStart w:id="23" w:name="_Hlk168503180"/>
      <w:r w:rsidRPr="00CD2F5C">
        <w:rPr>
          <w:rFonts w:ascii="Cambria" w:eastAsia="Calibri" w:hAnsi="Cambria" w:cs="Times New Roman"/>
          <w:sz w:val="24"/>
          <w:szCs w:val="24"/>
        </w:rPr>
        <w:t>Smith, K.E., Pollak</w:t>
      </w:r>
      <w:bookmarkEnd w:id="23"/>
      <w:r w:rsidRPr="00CD2F5C">
        <w:rPr>
          <w:rFonts w:ascii="Cambria" w:eastAsia="Calibri" w:hAnsi="Cambria" w:cs="Times New Roman"/>
          <w:sz w:val="24"/>
          <w:szCs w:val="24"/>
        </w:rPr>
        <w:t>, S.D. Early life stress and development: potential mechanisms for adverse outcomes. </w:t>
      </w:r>
      <w:r w:rsidRPr="00CD2F5C">
        <w:rPr>
          <w:rFonts w:ascii="Cambria" w:eastAsia="Calibri" w:hAnsi="Cambria" w:cs="Times New Roman"/>
          <w:i/>
          <w:iCs/>
          <w:sz w:val="24"/>
          <w:szCs w:val="24"/>
        </w:rPr>
        <w:t xml:space="preserve">J </w:t>
      </w:r>
      <w:proofErr w:type="spellStart"/>
      <w:r w:rsidRPr="00CD2F5C">
        <w:rPr>
          <w:rFonts w:ascii="Cambria" w:eastAsia="Calibri" w:hAnsi="Cambria" w:cs="Times New Roman"/>
          <w:i/>
          <w:iCs/>
          <w:sz w:val="24"/>
          <w:szCs w:val="24"/>
        </w:rPr>
        <w:t>Neurodevelop</w:t>
      </w:r>
      <w:proofErr w:type="spellEnd"/>
      <w:r w:rsidRPr="00CD2F5C">
        <w:rPr>
          <w:rFonts w:ascii="Cambria" w:eastAsia="Calibri" w:hAnsi="Cambria" w:cs="Times New Roman"/>
          <w:i/>
          <w:iCs/>
          <w:sz w:val="24"/>
          <w:szCs w:val="24"/>
        </w:rPr>
        <w:t xml:space="preserve"> </w:t>
      </w:r>
      <w:proofErr w:type="spellStart"/>
      <w:r w:rsidRPr="00CD2F5C">
        <w:rPr>
          <w:rFonts w:ascii="Cambria" w:eastAsia="Calibri" w:hAnsi="Cambria" w:cs="Times New Roman"/>
          <w:i/>
          <w:iCs/>
          <w:sz w:val="24"/>
          <w:szCs w:val="24"/>
        </w:rPr>
        <w:t>Disord</w:t>
      </w:r>
      <w:proofErr w:type="spellEnd"/>
      <w:r w:rsidRPr="00CD2F5C">
        <w:rPr>
          <w:rFonts w:ascii="Cambria" w:eastAsia="Calibri" w:hAnsi="Cambria" w:cs="Times New Roman"/>
          <w:i/>
          <w:iCs/>
          <w:sz w:val="24"/>
          <w:szCs w:val="24"/>
        </w:rPr>
        <w:t>.</w:t>
      </w:r>
      <w:r w:rsidRPr="00CD2F5C">
        <w:rPr>
          <w:rFonts w:ascii="Cambria" w:eastAsia="Calibri" w:hAnsi="Cambria" w:cs="Times New Roman"/>
          <w:sz w:val="24"/>
          <w:szCs w:val="24"/>
        </w:rPr>
        <w:t xml:space="preserve"> 2020; 12:34. </w:t>
      </w:r>
    </w:p>
    <w:p w14:paraId="07339E1C" w14:textId="77777777" w:rsidR="002D1216" w:rsidRPr="00CD2F5C" w:rsidRDefault="002D1216" w:rsidP="002B0F75">
      <w:pPr>
        <w:spacing w:line="360" w:lineRule="auto"/>
        <w:rPr>
          <w:rFonts w:ascii="Cambria" w:eastAsia="Calibri" w:hAnsi="Cambria" w:cs="Times New Roman"/>
          <w:sz w:val="24"/>
          <w:szCs w:val="24"/>
        </w:rPr>
      </w:pPr>
      <w:bookmarkStart w:id="24" w:name="_Hlk101504242"/>
      <w:r w:rsidRPr="00CD2F5C">
        <w:rPr>
          <w:rFonts w:ascii="Cambria" w:eastAsia="Calibri" w:hAnsi="Cambria" w:cs="Times New Roman"/>
          <w:sz w:val="24"/>
          <w:szCs w:val="24"/>
        </w:rPr>
        <w:t>Sproston</w:t>
      </w:r>
      <w:bookmarkEnd w:id="24"/>
      <w:r w:rsidRPr="00CD2F5C">
        <w:rPr>
          <w:rFonts w:ascii="Cambria" w:eastAsia="Calibri" w:hAnsi="Cambria" w:cs="Times New Roman"/>
          <w:sz w:val="24"/>
          <w:szCs w:val="24"/>
        </w:rPr>
        <w:t xml:space="preserve"> NR, Ashworth JJ. Role of C-Reactive Protein at Sites of Inflammation and Infection. </w:t>
      </w:r>
      <w:r w:rsidRPr="00CD2F5C">
        <w:rPr>
          <w:rFonts w:ascii="Cambria" w:eastAsia="Calibri" w:hAnsi="Cambria" w:cs="Times New Roman"/>
          <w:i/>
          <w:iCs/>
          <w:sz w:val="24"/>
          <w:szCs w:val="24"/>
        </w:rPr>
        <w:t>Front Immunol</w:t>
      </w:r>
      <w:r w:rsidRPr="00CD2F5C">
        <w:rPr>
          <w:rFonts w:ascii="Cambria" w:eastAsia="Calibri" w:hAnsi="Cambria" w:cs="Times New Roman"/>
          <w:sz w:val="24"/>
          <w:szCs w:val="24"/>
        </w:rPr>
        <w:t>. 2018; 9:754. Published 2018 Apr 13. doi:10.3389/fimmu.2018.00754.</w:t>
      </w:r>
    </w:p>
    <w:p w14:paraId="62454B1F"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t>Treede</w:t>
      </w:r>
      <w:proofErr w:type="spellEnd"/>
      <w:r w:rsidRPr="00CD2F5C">
        <w:rPr>
          <w:rFonts w:ascii="Cambria" w:eastAsia="Calibri" w:hAnsi="Cambria" w:cs="Times New Roman"/>
          <w:sz w:val="24"/>
          <w:szCs w:val="24"/>
        </w:rPr>
        <w:t xml:space="preserve"> RD. The International Association for the Study of Pain definition of pain: as valid in 2018 as in 1979, but in need of regularly updated footnotes. </w:t>
      </w:r>
      <w:r w:rsidRPr="00CD2F5C">
        <w:rPr>
          <w:rFonts w:ascii="Cambria" w:eastAsia="Calibri" w:hAnsi="Cambria" w:cs="Times New Roman"/>
          <w:i/>
          <w:iCs/>
          <w:sz w:val="24"/>
          <w:szCs w:val="24"/>
        </w:rPr>
        <w:t>Pain Rep</w:t>
      </w:r>
      <w:r w:rsidRPr="00CD2F5C">
        <w:rPr>
          <w:rFonts w:ascii="Cambria" w:eastAsia="Calibri" w:hAnsi="Cambria" w:cs="Times New Roman"/>
          <w:sz w:val="24"/>
          <w:szCs w:val="24"/>
        </w:rPr>
        <w:t>. 2018;3(2</w:t>
      </w:r>
      <w:proofErr w:type="gramStart"/>
      <w:r w:rsidRPr="00CD2F5C">
        <w:rPr>
          <w:rFonts w:ascii="Cambria" w:eastAsia="Calibri" w:hAnsi="Cambria" w:cs="Times New Roman"/>
          <w:sz w:val="24"/>
          <w:szCs w:val="24"/>
        </w:rPr>
        <w:t>):e</w:t>
      </w:r>
      <w:proofErr w:type="gramEnd"/>
      <w:r w:rsidRPr="00CD2F5C">
        <w:rPr>
          <w:rFonts w:ascii="Cambria" w:eastAsia="Calibri" w:hAnsi="Cambria" w:cs="Times New Roman"/>
          <w:sz w:val="24"/>
          <w:szCs w:val="24"/>
        </w:rPr>
        <w:t xml:space="preserve">643. Published 2018 Mar 5. doi:10.1097/PR9.0000000000000643 </w:t>
      </w:r>
    </w:p>
    <w:p w14:paraId="175FD1E2"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Tseng MT, Kong Y, </w:t>
      </w:r>
      <w:proofErr w:type="spellStart"/>
      <w:r w:rsidRPr="00CD2F5C">
        <w:rPr>
          <w:rFonts w:ascii="Cambria" w:eastAsia="Calibri" w:hAnsi="Cambria" w:cs="Times New Roman"/>
          <w:sz w:val="24"/>
          <w:szCs w:val="24"/>
        </w:rPr>
        <w:t>Eippert</w:t>
      </w:r>
      <w:proofErr w:type="spellEnd"/>
      <w:r w:rsidRPr="00CD2F5C">
        <w:rPr>
          <w:rFonts w:ascii="Cambria" w:eastAsia="Calibri" w:hAnsi="Cambria" w:cs="Times New Roman"/>
          <w:sz w:val="24"/>
          <w:szCs w:val="24"/>
        </w:rPr>
        <w:t xml:space="preserve"> F, Tracey I. Determining the Neural Substrate for Encoding a Memory of Human Pain and the Influence of Anxiety. J </w:t>
      </w:r>
      <w:proofErr w:type="spellStart"/>
      <w:r w:rsidRPr="00CD2F5C">
        <w:rPr>
          <w:rFonts w:ascii="Cambria" w:eastAsia="Calibri" w:hAnsi="Cambria" w:cs="Times New Roman"/>
          <w:sz w:val="24"/>
          <w:szCs w:val="24"/>
        </w:rPr>
        <w:t>Neurosci</w:t>
      </w:r>
      <w:proofErr w:type="spellEnd"/>
      <w:r w:rsidRPr="00CD2F5C">
        <w:rPr>
          <w:rFonts w:ascii="Cambria" w:eastAsia="Calibri" w:hAnsi="Cambria" w:cs="Times New Roman"/>
          <w:sz w:val="24"/>
          <w:szCs w:val="24"/>
        </w:rPr>
        <w:t xml:space="preserve">. 2017;37(49):11806-11817. doi:10.1523/JNEUROSCI.0750-17.2017 </w:t>
      </w:r>
    </w:p>
    <w:p w14:paraId="52039AF9"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Turk DC, Swanson KS, </w:t>
      </w:r>
      <w:proofErr w:type="spellStart"/>
      <w:r w:rsidRPr="00CD2F5C">
        <w:rPr>
          <w:rFonts w:ascii="Cambria" w:eastAsia="Calibri" w:hAnsi="Cambria" w:cs="Times New Roman"/>
          <w:sz w:val="24"/>
          <w:szCs w:val="24"/>
        </w:rPr>
        <w:t>Tunks</w:t>
      </w:r>
      <w:proofErr w:type="spellEnd"/>
      <w:r w:rsidRPr="00CD2F5C">
        <w:rPr>
          <w:rFonts w:ascii="Cambria" w:eastAsia="Calibri" w:hAnsi="Cambria" w:cs="Times New Roman"/>
          <w:sz w:val="24"/>
          <w:szCs w:val="24"/>
        </w:rPr>
        <w:t xml:space="preserve"> ER. Psychological approaches in the treatment of chronic pain patients--when pills, scalpels, and needles are not enough. Can J Psychiatry. 2008 Apr;53(4):213-23. </w:t>
      </w:r>
      <w:proofErr w:type="spellStart"/>
      <w:r w:rsidRPr="00CD2F5C">
        <w:rPr>
          <w:rFonts w:ascii="Cambria" w:eastAsia="Calibri" w:hAnsi="Cambria" w:cs="Times New Roman"/>
          <w:sz w:val="24"/>
          <w:szCs w:val="24"/>
        </w:rPr>
        <w:t>doi</w:t>
      </w:r>
      <w:proofErr w:type="spellEnd"/>
      <w:r w:rsidRPr="00CD2F5C">
        <w:rPr>
          <w:rFonts w:ascii="Cambria" w:eastAsia="Calibri" w:hAnsi="Cambria" w:cs="Times New Roman"/>
          <w:sz w:val="24"/>
          <w:szCs w:val="24"/>
        </w:rPr>
        <w:t>: 10.1177/070674370805300402.</w:t>
      </w:r>
    </w:p>
    <w:p w14:paraId="6F5D346C" w14:textId="77777777" w:rsidR="002D1216" w:rsidRPr="00CD2F5C" w:rsidRDefault="002D1216" w:rsidP="002B0F75">
      <w:pPr>
        <w:spacing w:line="360" w:lineRule="auto"/>
        <w:rPr>
          <w:rFonts w:ascii="Cambria" w:eastAsia="Calibri" w:hAnsi="Cambria" w:cs="Times New Roman"/>
          <w:sz w:val="24"/>
          <w:szCs w:val="24"/>
        </w:rPr>
      </w:pPr>
      <w:proofErr w:type="spellStart"/>
      <w:r w:rsidRPr="00CD2F5C">
        <w:rPr>
          <w:rFonts w:ascii="Cambria" w:eastAsia="Calibri" w:hAnsi="Cambria" w:cs="Times New Roman"/>
          <w:sz w:val="24"/>
          <w:szCs w:val="24"/>
        </w:rPr>
        <w:lastRenderedPageBreak/>
        <w:t>Tzouvara</w:t>
      </w:r>
      <w:proofErr w:type="spellEnd"/>
      <w:r w:rsidRPr="00CD2F5C">
        <w:rPr>
          <w:rFonts w:ascii="Cambria" w:eastAsia="Calibri" w:hAnsi="Cambria" w:cs="Times New Roman"/>
          <w:sz w:val="24"/>
          <w:szCs w:val="24"/>
        </w:rPr>
        <w:t xml:space="preserve"> V, </w:t>
      </w:r>
      <w:proofErr w:type="spellStart"/>
      <w:r w:rsidRPr="00CD2F5C">
        <w:rPr>
          <w:rFonts w:ascii="Cambria" w:eastAsia="Calibri" w:hAnsi="Cambria" w:cs="Times New Roman"/>
          <w:sz w:val="24"/>
          <w:szCs w:val="24"/>
        </w:rPr>
        <w:t>Kupdere</w:t>
      </w:r>
      <w:proofErr w:type="spellEnd"/>
      <w:r w:rsidRPr="00CD2F5C">
        <w:rPr>
          <w:rFonts w:ascii="Cambria" w:eastAsia="Calibri" w:hAnsi="Cambria" w:cs="Times New Roman"/>
          <w:sz w:val="24"/>
          <w:szCs w:val="24"/>
        </w:rPr>
        <w:t xml:space="preserve"> P, Wilson K, Matthews L, Simpson A, Foye U. Adverse childhood experiences, mental health, and social functioning: A scoping review of the literature. </w:t>
      </w:r>
      <w:r w:rsidRPr="00CD2F5C">
        <w:rPr>
          <w:rFonts w:ascii="Cambria" w:eastAsia="Calibri" w:hAnsi="Cambria" w:cs="Times New Roman"/>
          <w:i/>
          <w:iCs/>
          <w:sz w:val="24"/>
          <w:szCs w:val="24"/>
        </w:rPr>
        <w:t xml:space="preserve">Child Abuse </w:t>
      </w:r>
      <w:proofErr w:type="spellStart"/>
      <w:r w:rsidRPr="00CD2F5C">
        <w:rPr>
          <w:rFonts w:ascii="Cambria" w:eastAsia="Calibri" w:hAnsi="Cambria" w:cs="Times New Roman"/>
          <w:i/>
          <w:iCs/>
          <w:sz w:val="24"/>
          <w:szCs w:val="24"/>
        </w:rPr>
        <w:t>Negl</w:t>
      </w:r>
      <w:proofErr w:type="spellEnd"/>
      <w:r w:rsidRPr="00CD2F5C">
        <w:rPr>
          <w:rFonts w:ascii="Cambria" w:eastAsia="Calibri" w:hAnsi="Cambria" w:cs="Times New Roman"/>
          <w:sz w:val="24"/>
          <w:szCs w:val="24"/>
        </w:rPr>
        <w:t xml:space="preserve">. 2023 May; 139:106092. </w:t>
      </w:r>
      <w:proofErr w:type="spellStart"/>
      <w:r w:rsidRPr="00CD2F5C">
        <w:rPr>
          <w:rFonts w:ascii="Cambria" w:eastAsia="Calibri" w:hAnsi="Cambria" w:cs="Times New Roman"/>
          <w:sz w:val="24"/>
          <w:szCs w:val="24"/>
        </w:rPr>
        <w:t>doi</w:t>
      </w:r>
      <w:proofErr w:type="spellEnd"/>
      <w:r w:rsidRPr="00CD2F5C">
        <w:rPr>
          <w:rFonts w:ascii="Cambria" w:eastAsia="Calibri" w:hAnsi="Cambria" w:cs="Times New Roman"/>
          <w:sz w:val="24"/>
          <w:szCs w:val="24"/>
        </w:rPr>
        <w:t>: 10.1016/j.chiabu.2023.106092.</w:t>
      </w:r>
    </w:p>
    <w:p w14:paraId="65B0F7A3"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Van der Hulst M, </w:t>
      </w:r>
      <w:proofErr w:type="spellStart"/>
      <w:r w:rsidRPr="00CD2F5C">
        <w:rPr>
          <w:rFonts w:ascii="Cambria" w:eastAsia="Calibri" w:hAnsi="Cambria" w:cs="Times New Roman"/>
          <w:sz w:val="24"/>
          <w:szCs w:val="24"/>
        </w:rPr>
        <w:t>Vollenbroek</w:t>
      </w:r>
      <w:proofErr w:type="spellEnd"/>
      <w:r w:rsidRPr="00CD2F5C">
        <w:rPr>
          <w:rFonts w:ascii="Cambria" w:eastAsia="Calibri" w:hAnsi="Cambria" w:cs="Times New Roman"/>
          <w:sz w:val="24"/>
          <w:szCs w:val="24"/>
        </w:rPr>
        <w:t>-Hutten MM, Rietman JS, Schaake L, Groothuis-</w:t>
      </w:r>
      <w:proofErr w:type="spellStart"/>
      <w:r w:rsidRPr="00CD2F5C">
        <w:rPr>
          <w:rFonts w:ascii="Cambria" w:eastAsia="Calibri" w:hAnsi="Cambria" w:cs="Times New Roman"/>
          <w:sz w:val="24"/>
          <w:szCs w:val="24"/>
        </w:rPr>
        <w:t>Oudshoorn</w:t>
      </w:r>
      <w:proofErr w:type="spellEnd"/>
      <w:r w:rsidRPr="00CD2F5C">
        <w:rPr>
          <w:rFonts w:ascii="Cambria" w:eastAsia="Calibri" w:hAnsi="Cambria" w:cs="Times New Roman"/>
          <w:sz w:val="24"/>
          <w:szCs w:val="24"/>
        </w:rPr>
        <w:t xml:space="preserve"> KG, Hermens HJ. Back muscle activation patterns in chronic low back pain during walking: a “guarding” hypothesis. </w:t>
      </w:r>
      <w:r w:rsidRPr="00CD2F5C">
        <w:rPr>
          <w:rFonts w:ascii="Cambria" w:eastAsia="Calibri" w:hAnsi="Cambria" w:cs="Times New Roman"/>
          <w:i/>
          <w:iCs/>
          <w:sz w:val="24"/>
          <w:szCs w:val="24"/>
        </w:rPr>
        <w:t>Clin J Pain</w:t>
      </w:r>
      <w:r w:rsidRPr="00CD2F5C">
        <w:rPr>
          <w:rFonts w:ascii="Cambria" w:eastAsia="Calibri" w:hAnsi="Cambria" w:cs="Times New Roman"/>
          <w:sz w:val="24"/>
          <w:szCs w:val="24"/>
        </w:rPr>
        <w:t> 2010; 26:30–7. </w:t>
      </w:r>
    </w:p>
    <w:p w14:paraId="51191157"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 xml:space="preserve">Vincent A, Whipple MO, McAllister SJ, Aleman KM, St </w:t>
      </w:r>
      <w:proofErr w:type="spellStart"/>
      <w:r w:rsidRPr="00CD2F5C">
        <w:rPr>
          <w:rFonts w:ascii="Cambria" w:eastAsia="Calibri" w:hAnsi="Cambria" w:cs="Times New Roman"/>
          <w:sz w:val="24"/>
          <w:szCs w:val="24"/>
        </w:rPr>
        <w:t>Sauver</w:t>
      </w:r>
      <w:proofErr w:type="spellEnd"/>
      <w:r w:rsidRPr="00CD2F5C">
        <w:rPr>
          <w:rFonts w:ascii="Cambria" w:eastAsia="Calibri" w:hAnsi="Cambria" w:cs="Times New Roman"/>
          <w:sz w:val="24"/>
          <w:szCs w:val="24"/>
        </w:rPr>
        <w:t xml:space="preserve"> JL. A cross-sectional assessment of the prevalence of multiple chronic conditions and medication use in a sample of community-dwelling adults with fibromyalgia in Olmsted County, Minnesota. </w:t>
      </w:r>
      <w:r w:rsidRPr="00CD2F5C">
        <w:rPr>
          <w:rFonts w:ascii="Cambria" w:eastAsia="Calibri" w:hAnsi="Cambria" w:cs="Times New Roman"/>
          <w:i/>
          <w:iCs/>
          <w:sz w:val="24"/>
          <w:szCs w:val="24"/>
        </w:rPr>
        <w:t>BMJ Open</w:t>
      </w:r>
      <w:r w:rsidRPr="00CD2F5C">
        <w:rPr>
          <w:rFonts w:ascii="Cambria" w:eastAsia="Calibri" w:hAnsi="Cambria" w:cs="Times New Roman"/>
          <w:sz w:val="24"/>
          <w:szCs w:val="24"/>
        </w:rPr>
        <w:t>. 2015;5(3</w:t>
      </w:r>
      <w:proofErr w:type="gramStart"/>
      <w:r w:rsidRPr="00CD2F5C">
        <w:rPr>
          <w:rFonts w:ascii="Cambria" w:eastAsia="Calibri" w:hAnsi="Cambria" w:cs="Times New Roman"/>
          <w:sz w:val="24"/>
          <w:szCs w:val="24"/>
        </w:rPr>
        <w:t>):e</w:t>
      </w:r>
      <w:proofErr w:type="gramEnd"/>
      <w:r w:rsidRPr="00CD2F5C">
        <w:rPr>
          <w:rFonts w:ascii="Cambria" w:eastAsia="Calibri" w:hAnsi="Cambria" w:cs="Times New Roman"/>
          <w:sz w:val="24"/>
          <w:szCs w:val="24"/>
        </w:rPr>
        <w:t>006681.</w:t>
      </w:r>
    </w:p>
    <w:p w14:paraId="49BB0A60" w14:textId="77777777"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Vos T., Allen C., Arora M. Global, regional, and national incidence, prevalence, and years lived with disability for 328 diseases and injuries for 195 countries, 1990–2016: a systematic analysis for the Global Burden of Disease Study 2016. </w:t>
      </w:r>
      <w:r w:rsidRPr="00CD2F5C">
        <w:rPr>
          <w:rFonts w:ascii="Cambria" w:eastAsia="Calibri" w:hAnsi="Cambria" w:cs="Times New Roman"/>
          <w:i/>
          <w:iCs/>
          <w:sz w:val="24"/>
          <w:szCs w:val="24"/>
        </w:rPr>
        <w:t>Lancet. </w:t>
      </w:r>
      <w:r w:rsidRPr="00CD2F5C">
        <w:rPr>
          <w:rFonts w:ascii="Cambria" w:eastAsia="Calibri" w:hAnsi="Cambria" w:cs="Times New Roman"/>
          <w:sz w:val="24"/>
          <w:szCs w:val="24"/>
        </w:rPr>
        <w:t>2017; 390:1211–1259.</w:t>
      </w:r>
    </w:p>
    <w:p w14:paraId="2789E190" w14:textId="47E2557C" w:rsidR="002D1216" w:rsidRPr="00CD2F5C" w:rsidRDefault="002D1216" w:rsidP="002B0F75">
      <w:pPr>
        <w:spacing w:line="360" w:lineRule="auto"/>
        <w:rPr>
          <w:rFonts w:ascii="Cambria" w:eastAsia="Calibri" w:hAnsi="Cambria" w:cs="Times New Roman"/>
          <w:sz w:val="24"/>
          <w:szCs w:val="24"/>
        </w:rPr>
      </w:pPr>
      <w:r w:rsidRPr="00CD2F5C">
        <w:rPr>
          <w:rFonts w:ascii="Cambria" w:eastAsia="Calibri" w:hAnsi="Cambria" w:cs="Times New Roman"/>
          <w:sz w:val="24"/>
          <w:szCs w:val="24"/>
        </w:rPr>
        <w:t>World Health Organization. </w:t>
      </w:r>
      <w:r w:rsidRPr="00CD2F5C">
        <w:rPr>
          <w:rFonts w:ascii="Cambria" w:eastAsia="Calibri" w:hAnsi="Cambria" w:cs="Times New Roman"/>
          <w:i/>
          <w:iCs/>
          <w:sz w:val="24"/>
          <w:szCs w:val="24"/>
        </w:rPr>
        <w:t>International Statistical Classification of Diseases and Related Health Problems.</w:t>
      </w:r>
      <w:r w:rsidRPr="00CD2F5C">
        <w:rPr>
          <w:rFonts w:ascii="Cambria" w:eastAsia="Calibri" w:hAnsi="Cambria" w:cs="Times New Roman"/>
          <w:sz w:val="24"/>
          <w:szCs w:val="24"/>
        </w:rPr>
        <w:t xml:space="preserve"> tenth ed. 2019. F40-48 Neurotic, stress-related and somatoform disorders. </w:t>
      </w:r>
      <w:hyperlink r:id="rId32" w:anchor="/F40-F48" w:history="1">
        <w:r w:rsidRPr="00CD2F5C">
          <w:rPr>
            <w:rStyle w:val="Hyperlink"/>
            <w:rFonts w:ascii="Cambria" w:eastAsia="Calibri" w:hAnsi="Cambria" w:cs="Times New Roman"/>
            <w:sz w:val="24"/>
            <w:szCs w:val="24"/>
          </w:rPr>
          <w:t>https://icd.who.int/browse10/2019/en#/F40-F48</w:t>
        </w:r>
      </w:hyperlink>
      <w:r w:rsidRPr="00CD2F5C">
        <w:rPr>
          <w:rFonts w:ascii="Cambria" w:eastAsia="Calibri" w:hAnsi="Cambria" w:cs="Times New Roman"/>
          <w:sz w:val="24"/>
          <w:szCs w:val="24"/>
        </w:rPr>
        <w:t>. </w:t>
      </w:r>
    </w:p>
    <w:p w14:paraId="7516BB59" w14:textId="1B1C500A" w:rsidR="009832C0" w:rsidRPr="00CD2F5C" w:rsidRDefault="009832C0" w:rsidP="002B0F75">
      <w:pPr>
        <w:spacing w:line="360" w:lineRule="auto"/>
        <w:rPr>
          <w:rFonts w:ascii="Cambria" w:hAnsi="Cambria"/>
          <w:sz w:val="24"/>
          <w:szCs w:val="24"/>
        </w:rPr>
      </w:pPr>
      <w:r w:rsidRPr="00CD2F5C">
        <w:rPr>
          <w:rFonts w:ascii="Cambria" w:hAnsi="Cambria"/>
          <w:sz w:val="24"/>
          <w:szCs w:val="24"/>
        </w:rPr>
        <w:br w:type="page"/>
      </w:r>
    </w:p>
    <w:p w14:paraId="041E41F1" w14:textId="77777777" w:rsidR="009832C0" w:rsidRPr="00CD2F5C" w:rsidRDefault="009832C0" w:rsidP="002B0F75">
      <w:pPr>
        <w:pStyle w:val="Heading1"/>
        <w:spacing w:line="360" w:lineRule="auto"/>
      </w:pPr>
      <w:bookmarkStart w:id="25" w:name="_Toc181362880"/>
      <w:r w:rsidRPr="00CD2F5C">
        <w:lastRenderedPageBreak/>
        <w:t xml:space="preserve">Chapter 2: </w:t>
      </w:r>
      <w:bookmarkStart w:id="26" w:name="_Hlk110083707"/>
      <w:bookmarkStart w:id="27" w:name="_Hlk134706819"/>
      <w:r w:rsidRPr="00CD2F5C">
        <w:t>Anxiety, History of Childhood Adversity, and Experiencing Chronic Pain in Adulthood</w:t>
      </w:r>
      <w:bookmarkEnd w:id="26"/>
      <w:r w:rsidRPr="00CD2F5C">
        <w:t>: A Systematic Literature Review and Meta-analysis</w:t>
      </w:r>
      <w:bookmarkEnd w:id="25"/>
      <w:bookmarkEnd w:id="27"/>
    </w:p>
    <w:p w14:paraId="50E8D874" w14:textId="2C7378A8" w:rsidR="002D1216" w:rsidRPr="002D1216" w:rsidRDefault="11B03FFC" w:rsidP="002B0F75">
      <w:pPr>
        <w:spacing w:line="360" w:lineRule="auto"/>
        <w:rPr>
          <w:rFonts w:ascii="Cambria" w:hAnsi="Cambria"/>
          <w:sz w:val="24"/>
          <w:szCs w:val="24"/>
        </w:rPr>
      </w:pPr>
      <w:r w:rsidRPr="13B33B62">
        <w:rPr>
          <w:rFonts w:ascii="Cambria" w:hAnsi="Cambria"/>
          <w:sz w:val="24"/>
          <w:szCs w:val="24"/>
        </w:rPr>
        <w:t xml:space="preserve">In a first step to </w:t>
      </w:r>
      <w:r w:rsidR="33172F89" w:rsidRPr="13B33B62">
        <w:rPr>
          <w:rFonts w:ascii="Cambria" w:hAnsi="Cambria"/>
          <w:sz w:val="24"/>
          <w:szCs w:val="24"/>
        </w:rPr>
        <w:t xml:space="preserve">achieve the main aim of this </w:t>
      </w:r>
      <w:r w:rsidR="5A2BC9EC" w:rsidRPr="13B33B62">
        <w:rPr>
          <w:rFonts w:ascii="Cambria" w:hAnsi="Cambria"/>
          <w:sz w:val="24"/>
          <w:szCs w:val="24"/>
        </w:rPr>
        <w:t>thesis</w:t>
      </w:r>
      <w:r w:rsidR="00F52F59">
        <w:rPr>
          <w:rFonts w:ascii="Cambria" w:hAnsi="Cambria"/>
          <w:sz w:val="24"/>
          <w:szCs w:val="24"/>
        </w:rPr>
        <w:t xml:space="preserve"> </w:t>
      </w:r>
      <w:r w:rsidR="179D8B01" w:rsidRPr="13B33B62">
        <w:rPr>
          <w:rFonts w:ascii="Cambria" w:hAnsi="Cambria"/>
          <w:sz w:val="24"/>
          <w:szCs w:val="24"/>
        </w:rPr>
        <w:t>– evaluating the role of adverse childhood experiences (ACEs) and anxiety on chronic pain in adulthood</w:t>
      </w:r>
      <w:r w:rsidR="00F52F59">
        <w:rPr>
          <w:rFonts w:ascii="Cambria" w:hAnsi="Cambria"/>
          <w:sz w:val="24"/>
          <w:szCs w:val="24"/>
        </w:rPr>
        <w:t xml:space="preserve"> </w:t>
      </w:r>
      <w:r w:rsidR="00F52F59" w:rsidRPr="13B33B62">
        <w:rPr>
          <w:rFonts w:ascii="Cambria" w:hAnsi="Cambria"/>
          <w:sz w:val="24"/>
          <w:szCs w:val="24"/>
        </w:rPr>
        <w:t>–</w:t>
      </w:r>
      <w:r w:rsidR="179D8B01" w:rsidRPr="13B33B62">
        <w:rPr>
          <w:rFonts w:ascii="Cambria" w:hAnsi="Cambria"/>
          <w:sz w:val="24"/>
          <w:szCs w:val="24"/>
        </w:rPr>
        <w:t xml:space="preserve"> </w:t>
      </w:r>
      <w:r w:rsidR="128D10C1" w:rsidRPr="13B33B62">
        <w:rPr>
          <w:rFonts w:ascii="Cambria" w:hAnsi="Cambria"/>
          <w:sz w:val="24"/>
          <w:szCs w:val="24"/>
        </w:rPr>
        <w:t>a</w:t>
      </w:r>
      <w:r w:rsidR="20B6C0CA" w:rsidRPr="13B33B62">
        <w:rPr>
          <w:rFonts w:ascii="Cambria" w:hAnsi="Cambria"/>
          <w:sz w:val="24"/>
          <w:szCs w:val="24"/>
        </w:rPr>
        <w:t xml:space="preserve"> </w:t>
      </w:r>
      <w:bookmarkStart w:id="28" w:name="_Hlk169027709"/>
      <w:r w:rsidR="179D8B01" w:rsidRPr="13B33B62">
        <w:rPr>
          <w:rFonts w:ascii="Cambria" w:hAnsi="Cambria"/>
          <w:sz w:val="24"/>
          <w:szCs w:val="24"/>
        </w:rPr>
        <w:t>systematic review and meta-analysis to summari</w:t>
      </w:r>
      <w:r w:rsidR="5F0B19C6" w:rsidRPr="13B33B62">
        <w:rPr>
          <w:rFonts w:ascii="Cambria" w:hAnsi="Cambria"/>
          <w:sz w:val="24"/>
          <w:szCs w:val="24"/>
        </w:rPr>
        <w:t>s</w:t>
      </w:r>
      <w:r w:rsidR="179D8B01" w:rsidRPr="13B33B62">
        <w:rPr>
          <w:rFonts w:ascii="Cambria" w:hAnsi="Cambria"/>
          <w:sz w:val="24"/>
          <w:szCs w:val="24"/>
        </w:rPr>
        <w:t xml:space="preserve">e the existing literature on the relationship between ACEs and anxiety on chronic pain experience in adults </w:t>
      </w:r>
      <w:r w:rsidR="75E15F9E" w:rsidRPr="13B33B62">
        <w:rPr>
          <w:rFonts w:ascii="Cambria" w:hAnsi="Cambria"/>
          <w:sz w:val="24"/>
          <w:szCs w:val="24"/>
        </w:rPr>
        <w:t>was deemed necessary due to the scattered evidence available on this topic</w:t>
      </w:r>
      <w:bookmarkEnd w:id="28"/>
      <w:r w:rsidR="179D8B01" w:rsidRPr="13B33B62">
        <w:rPr>
          <w:rFonts w:ascii="Cambria" w:hAnsi="Cambria"/>
          <w:sz w:val="24"/>
          <w:szCs w:val="24"/>
        </w:rPr>
        <w:t xml:space="preserve">. </w:t>
      </w:r>
      <w:bookmarkStart w:id="29" w:name="_Hlk169028098"/>
      <w:r w:rsidR="179D8B01" w:rsidRPr="13B33B62">
        <w:rPr>
          <w:rFonts w:ascii="Cambria" w:hAnsi="Cambria"/>
          <w:sz w:val="24"/>
          <w:szCs w:val="24"/>
        </w:rPr>
        <w:t>This systematic review was independently carried out by the author of this thesis with supervision from PhD supervisors (AW, LC, and GM)</w:t>
      </w:r>
      <w:bookmarkEnd w:id="29"/>
      <w:r w:rsidR="179D8B01" w:rsidRPr="13B33B62">
        <w:rPr>
          <w:rFonts w:ascii="Cambria" w:hAnsi="Cambria"/>
          <w:sz w:val="24"/>
          <w:szCs w:val="24"/>
        </w:rPr>
        <w:t xml:space="preserve"> and second screening of titles and abstract by an undergraduate student (HD). Results from this study informed the design and focus of the studies in Chapters 3 and 4.</w:t>
      </w:r>
      <w:r w:rsidR="4FB16032" w:rsidRPr="13B33B62">
        <w:rPr>
          <w:rFonts w:ascii="Cambria" w:hAnsi="Cambria"/>
          <w:sz w:val="24"/>
          <w:szCs w:val="24"/>
        </w:rPr>
        <w:t xml:space="preserve"> This chapter has been published in </w:t>
      </w:r>
      <w:r w:rsidR="423942DF" w:rsidRPr="13B33B62">
        <w:rPr>
          <w:rFonts w:ascii="Cambria" w:hAnsi="Cambria"/>
          <w:sz w:val="24"/>
          <w:szCs w:val="24"/>
        </w:rPr>
        <w:t>The European Journal of Pain</w:t>
      </w:r>
      <w:r w:rsidR="4FB16032" w:rsidRPr="13B33B62">
        <w:rPr>
          <w:rFonts w:ascii="Cambria" w:hAnsi="Cambria"/>
          <w:sz w:val="24"/>
          <w:szCs w:val="24"/>
        </w:rPr>
        <w:t xml:space="preserve">: </w:t>
      </w:r>
    </w:p>
    <w:p w14:paraId="7CB429B4" w14:textId="63656C8A" w:rsidR="002D1216" w:rsidRPr="002D1216" w:rsidRDefault="19A4DA80" w:rsidP="002B0F75">
      <w:pPr>
        <w:spacing w:line="360" w:lineRule="auto"/>
        <w:rPr>
          <w:rFonts w:ascii="Cambria" w:hAnsi="Cambria"/>
          <w:sz w:val="24"/>
          <w:szCs w:val="24"/>
        </w:rPr>
      </w:pPr>
      <w:r w:rsidRPr="6E2346AC">
        <w:rPr>
          <w:rFonts w:ascii="Cambria" w:hAnsi="Cambria"/>
          <w:sz w:val="24"/>
          <w:szCs w:val="24"/>
        </w:rPr>
        <w:t xml:space="preserve">Dalechek DE, </w:t>
      </w:r>
      <w:proofErr w:type="spellStart"/>
      <w:r w:rsidRPr="6E2346AC">
        <w:rPr>
          <w:rFonts w:ascii="Cambria" w:hAnsi="Cambria"/>
          <w:sz w:val="24"/>
          <w:szCs w:val="24"/>
        </w:rPr>
        <w:t>Caes</w:t>
      </w:r>
      <w:proofErr w:type="spellEnd"/>
      <w:r w:rsidRPr="6E2346AC">
        <w:rPr>
          <w:rFonts w:ascii="Cambria" w:hAnsi="Cambria"/>
          <w:sz w:val="24"/>
          <w:szCs w:val="24"/>
        </w:rPr>
        <w:t xml:space="preserve"> L, McIntosh G, Whittaker AC. Anxiety, history of childhood adversity, and experiencing chronic pain in adulthood: A systematic literature review and meta-analysis. </w:t>
      </w:r>
      <w:proofErr w:type="spellStart"/>
      <w:r w:rsidRPr="6E2346AC">
        <w:rPr>
          <w:rFonts w:ascii="Cambria" w:hAnsi="Cambria"/>
          <w:i/>
          <w:iCs/>
          <w:sz w:val="24"/>
          <w:szCs w:val="24"/>
        </w:rPr>
        <w:t>Eur</w:t>
      </w:r>
      <w:proofErr w:type="spellEnd"/>
      <w:r w:rsidRPr="6E2346AC">
        <w:rPr>
          <w:rFonts w:ascii="Cambria" w:hAnsi="Cambria"/>
          <w:i/>
          <w:iCs/>
          <w:sz w:val="24"/>
          <w:szCs w:val="24"/>
        </w:rPr>
        <w:t xml:space="preserve"> J Pain</w:t>
      </w:r>
      <w:r w:rsidRPr="6E2346AC">
        <w:rPr>
          <w:rFonts w:ascii="Cambria" w:hAnsi="Cambria"/>
          <w:sz w:val="24"/>
          <w:szCs w:val="24"/>
        </w:rPr>
        <w:t xml:space="preserve">. 2024 Jan 8. </w:t>
      </w:r>
      <w:hyperlink r:id="rId33" w:history="1">
        <w:proofErr w:type="spellStart"/>
        <w:r w:rsidRPr="6E2346AC">
          <w:rPr>
            <w:rStyle w:val="Hyperlink"/>
            <w:rFonts w:ascii="Cambria" w:hAnsi="Cambria"/>
            <w:sz w:val="24"/>
            <w:szCs w:val="24"/>
          </w:rPr>
          <w:t>doi</w:t>
        </w:r>
        <w:proofErr w:type="spellEnd"/>
        <w:r w:rsidRPr="6E2346AC">
          <w:rPr>
            <w:rStyle w:val="Hyperlink"/>
            <w:rFonts w:ascii="Cambria" w:hAnsi="Cambria"/>
            <w:sz w:val="24"/>
            <w:szCs w:val="24"/>
          </w:rPr>
          <w:t>: 10.1002/ejp.2232</w:t>
        </w:r>
      </w:hyperlink>
      <w:r w:rsidRPr="6E2346AC">
        <w:rPr>
          <w:rFonts w:ascii="Cambria" w:hAnsi="Cambria"/>
          <w:sz w:val="24"/>
          <w:szCs w:val="24"/>
        </w:rPr>
        <w:t xml:space="preserve">. </w:t>
      </w:r>
    </w:p>
    <w:p w14:paraId="755DAC7A" w14:textId="77777777" w:rsidR="002D1216" w:rsidRPr="00CD2F5C" w:rsidRDefault="002D1216" w:rsidP="002B0F75">
      <w:pPr>
        <w:spacing w:line="360" w:lineRule="auto"/>
        <w:rPr>
          <w:rFonts w:ascii="Cambria" w:hAnsi="Cambria"/>
          <w:b/>
          <w:bCs/>
          <w:sz w:val="24"/>
          <w:szCs w:val="24"/>
        </w:rPr>
      </w:pPr>
      <w:r w:rsidRPr="00CD2F5C">
        <w:rPr>
          <w:rFonts w:ascii="Cambria" w:hAnsi="Cambria"/>
          <w:b/>
          <w:bCs/>
          <w:sz w:val="24"/>
          <w:szCs w:val="24"/>
        </w:rPr>
        <w:br w:type="page"/>
      </w:r>
    </w:p>
    <w:p w14:paraId="4BF54F8F" w14:textId="5D5DDFC0" w:rsidR="009832C0" w:rsidRPr="00CD2F5C" w:rsidRDefault="353450C4" w:rsidP="002B0F75">
      <w:pPr>
        <w:spacing w:line="360" w:lineRule="auto"/>
        <w:rPr>
          <w:rFonts w:ascii="Cambria" w:hAnsi="Cambria"/>
          <w:b/>
          <w:bCs/>
          <w:sz w:val="24"/>
          <w:szCs w:val="24"/>
        </w:rPr>
      </w:pPr>
      <w:r w:rsidRPr="1E06730D">
        <w:rPr>
          <w:rFonts w:ascii="Cambria" w:hAnsi="Cambria"/>
          <w:b/>
          <w:bCs/>
          <w:sz w:val="24"/>
          <w:szCs w:val="24"/>
        </w:rPr>
        <w:lastRenderedPageBreak/>
        <w:t xml:space="preserve">Abstract </w:t>
      </w:r>
    </w:p>
    <w:p w14:paraId="1CF9FF7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Background: When considering factors that may impact chronic pain experiences in adulthood, adverse childhood experiences (ACEs) and anxiety should be considered. The literature on the associations between these 3 variables remains unclear.</w:t>
      </w:r>
    </w:p>
    <w:p w14:paraId="3DC9210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Objective: </w:t>
      </w:r>
      <w:bookmarkStart w:id="30" w:name="_Hlk134706390"/>
      <w:r w:rsidRPr="00CD2F5C">
        <w:rPr>
          <w:rFonts w:ascii="Cambria" w:hAnsi="Cambria"/>
          <w:sz w:val="24"/>
          <w:szCs w:val="24"/>
        </w:rPr>
        <w:t xml:space="preserve">To </w:t>
      </w:r>
      <w:bookmarkStart w:id="31" w:name="_Hlk134706306"/>
      <w:r w:rsidRPr="00CD2F5C">
        <w:rPr>
          <w:rFonts w:ascii="Cambria" w:hAnsi="Cambria"/>
          <w:sz w:val="24"/>
          <w:szCs w:val="24"/>
        </w:rPr>
        <w:t xml:space="preserve">summarize the existing literature </w:t>
      </w:r>
      <w:bookmarkEnd w:id="31"/>
      <w:r w:rsidRPr="00CD2F5C">
        <w:rPr>
          <w:rFonts w:ascii="Cambria" w:hAnsi="Cambria"/>
          <w:sz w:val="24"/>
          <w:szCs w:val="24"/>
        </w:rPr>
        <w:t>on the relationship between ACEs and anxiety on chronic pain experience in adults and examine the association between ACEs and anxiety.</w:t>
      </w:r>
      <w:bookmarkEnd w:id="30"/>
    </w:p>
    <w:p w14:paraId="68053CB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Methods: A systematic literature review (SLR) and meta-analysis was used to examine adults (≥18) with a reported history of ACEs, self-reported and/or diagnosed anxiety, and chronic pain. The SLR included quality appraisal according to the Joanna Briggs Institute tool. </w:t>
      </w:r>
    </w:p>
    <w:p w14:paraId="2BF65E1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Results: The narrative summary indicated a significant association between ACEs, anxiety, and chronic pain experiences in adults. Of 52 selected studies, 79% reported a moderate-strong association. For ACE prevalence, the majority (50%, SD 16.01) reported experiencing sexual abuse, followed by physical abuse 46% (SD 20.7). Other ACEs included emotional abuse (33% (SD 17.17)), emotional neglect (25% (SD 21.02)), and physical neglect (23% (SD 22.44)). Meta-analyses showed moderate associations between anxiety and chronic pain (</w:t>
      </w:r>
      <w:r w:rsidRPr="00CD2F5C">
        <w:rPr>
          <w:rFonts w:ascii="Cambria" w:hAnsi="Cambria"/>
          <w:i/>
          <w:iCs/>
          <w:sz w:val="24"/>
          <w:szCs w:val="24"/>
        </w:rPr>
        <w:t>r</w:t>
      </w:r>
      <w:r w:rsidRPr="00CD2F5C">
        <w:rPr>
          <w:rFonts w:ascii="Cambria" w:hAnsi="Cambria"/>
          <w:sz w:val="24"/>
          <w:szCs w:val="24"/>
        </w:rPr>
        <w:t xml:space="preserve">=0.30; 95%CI = (0.14, 0.45), </w:t>
      </w:r>
      <w:r w:rsidRPr="00CD2F5C">
        <w:rPr>
          <w:rFonts w:ascii="Cambria" w:hAnsi="Cambria"/>
          <w:i/>
          <w:iCs/>
          <w:sz w:val="24"/>
          <w:szCs w:val="24"/>
        </w:rPr>
        <w:t>p</w:t>
      </w:r>
      <w:r w:rsidRPr="00CD2F5C">
        <w:rPr>
          <w:rFonts w:ascii="Cambria" w:hAnsi="Cambria"/>
          <w:sz w:val="24"/>
          <w:szCs w:val="24"/>
        </w:rPr>
        <w:t>&lt;0.01) and between ACEs and anxiety (</w:t>
      </w:r>
      <w:r w:rsidRPr="00CD2F5C">
        <w:rPr>
          <w:rFonts w:ascii="Cambria" w:hAnsi="Cambria"/>
          <w:i/>
          <w:iCs/>
          <w:sz w:val="24"/>
          <w:szCs w:val="24"/>
        </w:rPr>
        <w:t>r</w:t>
      </w:r>
      <w:r w:rsidRPr="00CD2F5C">
        <w:rPr>
          <w:rFonts w:ascii="Cambria" w:hAnsi="Cambria"/>
          <w:sz w:val="24"/>
          <w:szCs w:val="24"/>
        </w:rPr>
        <w:t xml:space="preserve">=0.26; 95%CI = (0.15, 0.36), </w:t>
      </w:r>
      <w:r w:rsidRPr="00CD2F5C">
        <w:rPr>
          <w:rFonts w:ascii="Cambria" w:hAnsi="Cambria"/>
          <w:i/>
          <w:iCs/>
          <w:sz w:val="24"/>
          <w:szCs w:val="24"/>
        </w:rPr>
        <w:t>p</w:t>
      </w:r>
      <w:r w:rsidRPr="00CD2F5C">
        <w:rPr>
          <w:rFonts w:ascii="Cambria" w:hAnsi="Cambria"/>
          <w:sz w:val="24"/>
          <w:szCs w:val="24"/>
        </w:rPr>
        <w:t xml:space="preserve">&lt;0.01), and that participants who experienced ACEs are around twice as likely to present chronic pain during adulthood (OR=1.99; 95% CI=1.53, 2.60), </w:t>
      </w:r>
      <w:r w:rsidRPr="00CD2F5C">
        <w:rPr>
          <w:rFonts w:ascii="Cambria" w:hAnsi="Cambria"/>
          <w:i/>
          <w:iCs/>
          <w:sz w:val="24"/>
          <w:szCs w:val="24"/>
        </w:rPr>
        <w:t>p</w:t>
      </w:r>
      <w:r w:rsidRPr="00CD2F5C">
        <w:rPr>
          <w:rFonts w:ascii="Cambria" w:hAnsi="Cambria"/>
          <w:sz w:val="24"/>
          <w:szCs w:val="24"/>
        </w:rPr>
        <w:t xml:space="preserve">&lt;0.01). </w:t>
      </w:r>
    </w:p>
    <w:p w14:paraId="25857C7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Conclusion: </w:t>
      </w:r>
      <w:bookmarkStart w:id="32" w:name="_Hlk134706270"/>
      <w:r w:rsidRPr="00CD2F5C">
        <w:rPr>
          <w:rFonts w:ascii="Cambria" w:hAnsi="Cambria"/>
          <w:sz w:val="24"/>
          <w:szCs w:val="24"/>
        </w:rPr>
        <w:t>The results of the SLR and meta-analysis indicated that ACEs and anxiety influence chronic pain experience in adults</w:t>
      </w:r>
      <w:bookmarkEnd w:id="32"/>
      <w:r w:rsidRPr="00CD2F5C">
        <w:rPr>
          <w:rFonts w:ascii="Cambria" w:hAnsi="Cambria"/>
          <w:sz w:val="24"/>
          <w:szCs w:val="24"/>
        </w:rPr>
        <w:t>. Given the relationship between ACEs and anxiety, there would be value in exploring this as a potential mediator in future studies.</w:t>
      </w:r>
    </w:p>
    <w:p w14:paraId="0D05AE3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Significance: There was an unmet need to summarize the existing literature on the relationship between adverse childhood experiences (ACEs) and anxiety on chronic pain experience in adults, and the association between ACEs and anxiety. The results of this systematic review and meta-analysis indicated that both ACEs and anxiety influence </w:t>
      </w:r>
      <w:r w:rsidRPr="00CD2F5C">
        <w:rPr>
          <w:rFonts w:ascii="Cambria" w:hAnsi="Cambria"/>
          <w:sz w:val="24"/>
          <w:szCs w:val="24"/>
        </w:rPr>
        <w:lastRenderedPageBreak/>
        <w:t>chronic pain in adults, and help to inform on the diverse literature on these potential relationships to date.</w:t>
      </w:r>
    </w:p>
    <w:p w14:paraId="2DF92F8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PROSPERO 2021 CRD4202125770. Available from: </w:t>
      </w:r>
      <w:hyperlink r:id="rId34" w:history="1">
        <w:r w:rsidRPr="00CD2F5C">
          <w:rPr>
            <w:rStyle w:val="Hyperlink"/>
            <w:rFonts w:ascii="Cambria" w:hAnsi="Cambria"/>
            <w:sz w:val="24"/>
            <w:szCs w:val="24"/>
          </w:rPr>
          <w:t>https://www.crd.york.ac.uk/prospero/display_record.php?ID=CRD42021257706</w:t>
        </w:r>
      </w:hyperlink>
    </w:p>
    <w:p w14:paraId="4BA1F735" w14:textId="77777777" w:rsidR="009832C0" w:rsidRPr="00CD2F5C" w:rsidRDefault="009832C0" w:rsidP="002B0F75">
      <w:pPr>
        <w:spacing w:line="360" w:lineRule="auto"/>
        <w:rPr>
          <w:rFonts w:ascii="Cambria" w:hAnsi="Cambria"/>
          <w:sz w:val="24"/>
          <w:szCs w:val="24"/>
        </w:rPr>
      </w:pPr>
    </w:p>
    <w:p w14:paraId="1F9594EE"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br w:type="page"/>
      </w:r>
    </w:p>
    <w:p w14:paraId="487F3EC9" w14:textId="77777777" w:rsidR="009832C0" w:rsidRPr="00CD2F5C" w:rsidRDefault="009832C0" w:rsidP="002B0F75">
      <w:pPr>
        <w:spacing w:line="360" w:lineRule="auto"/>
        <w:rPr>
          <w:rFonts w:ascii="Cambria" w:hAnsi="Cambria"/>
          <w:sz w:val="24"/>
          <w:szCs w:val="24"/>
        </w:rPr>
      </w:pPr>
      <w:r w:rsidRPr="00CD2F5C">
        <w:rPr>
          <w:rFonts w:ascii="Cambria" w:hAnsi="Cambria"/>
          <w:b/>
          <w:bCs/>
          <w:sz w:val="24"/>
          <w:szCs w:val="24"/>
        </w:rPr>
        <w:lastRenderedPageBreak/>
        <w:t>Introduction</w:t>
      </w:r>
    </w:p>
    <w:p w14:paraId="5498741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Historically, anxiety has had a wide variety of meanings and interpretations. Definitions have ranged from the anticipation of a future threat to the emotional response to a real or perceived imminent one (</w:t>
      </w:r>
      <w:proofErr w:type="spellStart"/>
      <w:r w:rsidRPr="00CD2F5C">
        <w:rPr>
          <w:rFonts w:ascii="Cambria" w:hAnsi="Cambria"/>
          <w:sz w:val="24"/>
          <w:szCs w:val="24"/>
        </w:rPr>
        <w:t>Crocq</w:t>
      </w:r>
      <w:proofErr w:type="spellEnd"/>
      <w:r w:rsidRPr="00CD2F5C">
        <w:rPr>
          <w:rFonts w:ascii="Cambria" w:hAnsi="Cambria"/>
          <w:sz w:val="24"/>
          <w:szCs w:val="24"/>
        </w:rPr>
        <w:t>, 2015). The DSM‐5 (DSM, 2013) adds nuance to this by focusing on the cognitive features of anxiety as “apprehensive expectation” (</w:t>
      </w:r>
      <w:proofErr w:type="spellStart"/>
      <w:r w:rsidRPr="00CD2F5C">
        <w:rPr>
          <w:rFonts w:ascii="Cambria" w:hAnsi="Cambria"/>
          <w:sz w:val="24"/>
          <w:szCs w:val="24"/>
        </w:rPr>
        <w:t>Crocq</w:t>
      </w:r>
      <w:proofErr w:type="spellEnd"/>
      <w:r w:rsidRPr="00CD2F5C">
        <w:rPr>
          <w:rFonts w:ascii="Cambria" w:hAnsi="Cambria"/>
          <w:sz w:val="24"/>
          <w:szCs w:val="24"/>
        </w:rPr>
        <w:t>, 2015). Although anxiety has been considered biologically adaptive by promoting danger avoidance, an obvious discrepancy exists between mild, adaptive anxiety in everyday life and the distressing pathological anxiety requiring immediate intervention (Robinson et al., 2013). This difference is determined by professional or clinical assessment, with traumatic or tense experiences often being triggers for developing maladaptive anxiety.</w:t>
      </w:r>
    </w:p>
    <w:p w14:paraId="77A9A23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During these types of anxiety-inducing experiences, the brain is in a heightened state of stress, which has long-lasting negative impacts (Bremner, 2006). Although existing research has focused on behaviour, emotional development, mental, and physical health after anxiety, research addressing a direct link between anxiety and experiencing chronic pain is limited. The long‐term impacts of hyperarousal experienced in high anxiety states specifically and trauma history are not fully understood when considering pain. Studies have tended to focus on depression and post-traumatic stress disorder (PTSD) with pain (Morasco et al., 2013). One example that induces heightened, prolonged stress is adverse childhood experiences (ACEs). ACEs are childhood traumatic events, including experiencing violence, abuse, neglect, witnessing violence, having a family member attempt suicide or die, and aspects of home or community environments that undermine safety and stability (CDC, 2022). ACEs inhibit optimal development by altering gene expression, brain function, and even organ function (Merrick et al., 2019). ACEs also influence developing unhealthy coping strategies, which negatively affect behaviours, mental health, life opportunities, morbidity, and physical health such as chronic pain </w:t>
      </w:r>
      <w:bookmarkStart w:id="33" w:name="_Hlk110084101"/>
      <w:r w:rsidRPr="00CD2F5C">
        <w:rPr>
          <w:rFonts w:ascii="Cambria" w:hAnsi="Cambria"/>
          <w:sz w:val="24"/>
          <w:szCs w:val="24"/>
        </w:rPr>
        <w:t>(Merrick et al., 2019).</w:t>
      </w:r>
    </w:p>
    <w:bookmarkEnd w:id="33"/>
    <w:p w14:paraId="41C1035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In terms of economic burden, chronic pain has been a major factor affecting stress and anxiety in workers, and costs of pain‐related lost productivity ranged from $299–$335 billion based on results from a large‐scale survey using 2008 data in the US (Sakamoto et al., 2019). In the UK, the Health and Safety Executive report in 2015 estimated considerable </w:t>
      </w:r>
      <w:r w:rsidRPr="00CD2F5C">
        <w:rPr>
          <w:rFonts w:ascii="Cambria" w:hAnsi="Cambria"/>
          <w:sz w:val="24"/>
          <w:szCs w:val="24"/>
        </w:rPr>
        <w:lastRenderedPageBreak/>
        <w:t>costs to the British economy due to stress at work, with £14.3 billion lost in 2013–2014 (</w:t>
      </w:r>
      <w:proofErr w:type="spellStart"/>
      <w:r w:rsidRPr="00CD2F5C">
        <w:rPr>
          <w:rFonts w:ascii="Cambria" w:hAnsi="Cambria"/>
          <w:sz w:val="24"/>
          <w:szCs w:val="24"/>
        </w:rPr>
        <w:t>Bhui</w:t>
      </w:r>
      <w:proofErr w:type="spellEnd"/>
      <w:r w:rsidRPr="00CD2F5C">
        <w:rPr>
          <w:rFonts w:ascii="Cambria" w:hAnsi="Cambria"/>
          <w:sz w:val="24"/>
          <w:szCs w:val="24"/>
        </w:rPr>
        <w:t xml:space="preserve"> et al. 2016). This makes the annual cost of chronic pain greater than non-communicable diseases (e.g., heart disease, some cancers, diabetes), which are inaccurately considered to drive larger economic losses.</w:t>
      </w:r>
    </w:p>
    <w:p w14:paraId="24AA78C7" w14:textId="77777777" w:rsidR="009832C0" w:rsidRPr="00CD2F5C" w:rsidRDefault="009832C0" w:rsidP="002B0F75">
      <w:pPr>
        <w:spacing w:line="360" w:lineRule="auto"/>
        <w:rPr>
          <w:rFonts w:ascii="Cambria" w:hAnsi="Cambria"/>
          <w:b/>
          <w:bCs/>
          <w:sz w:val="24"/>
          <w:szCs w:val="24"/>
        </w:rPr>
      </w:pPr>
      <w:r w:rsidRPr="00CD2F5C">
        <w:rPr>
          <w:rFonts w:ascii="Cambria" w:hAnsi="Cambria"/>
          <w:sz w:val="24"/>
          <w:szCs w:val="24"/>
        </w:rPr>
        <w:t xml:space="preserve">In a recent study examining underlying neural mechanisms associated with ACE history in American adults, empirical evidence suggested that early life adversity alters the normative development of the amygdala. Results indicated that maltreatment, as a type of ACE, tends to predict a higher sensitivity to environmental threats and this leads to increased levels of anxiety. For maltreated individuals, neuroimaging research has demonstrated how hypervigilance to threatening stimuli may be a side effect of heightened amygdala activity (Kalia et al., 2020). In chronic pain populations, it has been shown that anxiety disorders are second only to depression as a psychological comorbidity. Clinical or pathological anxiety involves increased feelings of dread that interfere with standard functioning and may be mediating hypervigilance, potentially contributing to or exacerbating pain experiences (Woo 2010). Additionally, a recent systematic review documented high levels of ACEs in adults with chronic pain, and showed that ACEs impacted the form, presence, severity, and extent of chronic pain in adults (Nicolson et al. 2023). Several studies have also shown the involvement of neuroanatomical reorganization, </w:t>
      </w:r>
      <w:proofErr w:type="spellStart"/>
      <w:r w:rsidRPr="00CD2F5C">
        <w:rPr>
          <w:rFonts w:ascii="Cambria" w:hAnsi="Cambria"/>
          <w:sz w:val="24"/>
          <w:szCs w:val="24"/>
        </w:rPr>
        <w:t>neurotrophin</w:t>
      </w:r>
      <w:proofErr w:type="spellEnd"/>
      <w:r w:rsidRPr="00CD2F5C">
        <w:rPr>
          <w:rFonts w:ascii="Cambria" w:hAnsi="Cambria"/>
          <w:sz w:val="24"/>
          <w:szCs w:val="24"/>
        </w:rPr>
        <w:t xml:space="preserve"> and monoamine depletion, neuroinflammation, and endocannabinoid system changes to the general experience of pain after trauma (Brown et al., 2018). It is unclear what this link means clinically, but the variety of implications involved are important to consider for the development of chronic pain conditions. In addition, high concentrations of inflammatory markers have been described in PTSD, anxiety, panic disorder, and even a variety of phobias; however, results on a relationship between inflammation and anxiety-related symptoms are inconsistent (Michopoulos et al., 2017). Despite links between ACEs and chronic pain, the role of anxiety in this pathway, independent of a link with depression, remains unclear and under-investigated. To enhance the understanding of this pathway, a critical first step is gaining a comprehensive overview of the current evidence on the associations between ACEs, anxiety, and chronic pain. </w:t>
      </w:r>
      <w:bookmarkStart w:id="34" w:name="_Hlk143709861"/>
      <w:r w:rsidRPr="00CD2F5C">
        <w:rPr>
          <w:rFonts w:ascii="Cambria" w:hAnsi="Cambria"/>
          <w:sz w:val="24"/>
          <w:szCs w:val="24"/>
        </w:rPr>
        <w:t xml:space="preserve">To this end, the primary objective of this systematic review was to investigate the relationship between ACEs and anxiety on </w:t>
      </w:r>
      <w:r w:rsidRPr="00CD2F5C">
        <w:rPr>
          <w:rFonts w:ascii="Cambria" w:hAnsi="Cambria"/>
          <w:sz w:val="24"/>
          <w:szCs w:val="24"/>
        </w:rPr>
        <w:lastRenderedPageBreak/>
        <w:t xml:space="preserve">chronic pain experience in adults. This incorporated examining 1) the relationship between ACEs and chronic pain; 2) the relationship between anxiety and chronic pain 3) the association between ACEs and anxiety; and 4) if possible, the associations between all three variables. </w:t>
      </w:r>
      <w:bookmarkEnd w:id="34"/>
      <w:r w:rsidRPr="00CD2F5C">
        <w:rPr>
          <w:rFonts w:ascii="Cambria" w:hAnsi="Cambria"/>
          <w:sz w:val="24"/>
          <w:szCs w:val="24"/>
        </w:rPr>
        <w:t>While many individual studies have explored the relationship between ACEs and pain or ACEs and anxiety, no overarching review has summarised all of the evidence available. By summarizing the diverse evidence on these associations, this review sought to bridge the current gap by better understanding each of the relationships between these factors.</w:t>
      </w:r>
    </w:p>
    <w:p w14:paraId="3AE81F0B"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Methods</w:t>
      </w:r>
    </w:p>
    <w:p w14:paraId="75FBBE09"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Search strategy</w:t>
      </w:r>
    </w:p>
    <w:p w14:paraId="55B665B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For the systematic literature review, the search strategies focused on childhood adversity, trauma outcomes, comorbidities, chronic pain, ACEs, neurophysiology of anxiety, and neuroanatomical changes due to trauma. Chronic pain was defined by each individual article, with the standard assumption being pain lasting more than 3 months (see overview in </w:t>
      </w:r>
      <w:r w:rsidRPr="00CD2F5C">
        <w:rPr>
          <w:rFonts w:ascii="Cambria" w:hAnsi="Cambria"/>
          <w:b/>
          <w:bCs/>
          <w:sz w:val="24"/>
          <w:szCs w:val="24"/>
        </w:rPr>
        <w:t>Table 1</w:t>
      </w:r>
      <w:r w:rsidRPr="00CD2F5C">
        <w:rPr>
          <w:rFonts w:ascii="Cambria" w:hAnsi="Cambria"/>
          <w:sz w:val="24"/>
          <w:szCs w:val="24"/>
        </w:rPr>
        <w:t>,</w:t>
      </w:r>
      <w:r w:rsidRPr="00CD2F5C">
        <w:rPr>
          <w:rFonts w:ascii="Cambria" w:hAnsi="Cambria"/>
          <w:b/>
          <w:bCs/>
          <w:sz w:val="24"/>
          <w:szCs w:val="24"/>
        </w:rPr>
        <w:t xml:space="preserve"> </w:t>
      </w:r>
      <w:r w:rsidRPr="00CD2F5C">
        <w:rPr>
          <w:rFonts w:ascii="Cambria" w:hAnsi="Cambria"/>
          <w:sz w:val="24"/>
          <w:szCs w:val="24"/>
        </w:rPr>
        <w:t>or each article-specific chronic pan measure in</w:t>
      </w:r>
      <w:r w:rsidRPr="00CD2F5C">
        <w:rPr>
          <w:rFonts w:ascii="Cambria" w:hAnsi="Cambria"/>
          <w:b/>
          <w:bCs/>
          <w:sz w:val="24"/>
          <w:szCs w:val="24"/>
        </w:rPr>
        <w:t xml:space="preserve"> Table 2</w:t>
      </w:r>
      <w:r w:rsidRPr="00CD2F5C">
        <w:rPr>
          <w:rFonts w:ascii="Cambria" w:hAnsi="Cambria"/>
          <w:sz w:val="24"/>
          <w:szCs w:val="24"/>
        </w:rPr>
        <w:t xml:space="preserve">). </w:t>
      </w:r>
      <w:bookmarkStart w:id="35" w:name="_Hlk144908418"/>
      <w:r w:rsidRPr="00CD2F5C">
        <w:rPr>
          <w:rFonts w:ascii="Cambria" w:hAnsi="Cambria"/>
          <w:sz w:val="24"/>
          <w:szCs w:val="24"/>
        </w:rPr>
        <w:t xml:space="preserve">The search was conducted in August 2021 and the publication range included the last 20 years to capture a meaningful span of the existing literature. </w:t>
      </w:r>
      <w:bookmarkEnd w:id="35"/>
      <w:r w:rsidRPr="00CD2F5C">
        <w:rPr>
          <w:rFonts w:ascii="Cambria" w:hAnsi="Cambria"/>
          <w:sz w:val="24"/>
          <w:szCs w:val="24"/>
        </w:rPr>
        <w:t xml:space="preserve">Electronic databases searched included PubMed, Medline, </w:t>
      </w:r>
      <w:proofErr w:type="spellStart"/>
      <w:r w:rsidRPr="00CD2F5C">
        <w:rPr>
          <w:rFonts w:ascii="Cambria" w:hAnsi="Cambria"/>
          <w:sz w:val="24"/>
          <w:szCs w:val="24"/>
        </w:rPr>
        <w:t>PsychInfo</w:t>
      </w:r>
      <w:proofErr w:type="spellEnd"/>
      <w:r w:rsidRPr="00CD2F5C">
        <w:rPr>
          <w:rFonts w:ascii="Cambria" w:hAnsi="Cambria"/>
          <w:sz w:val="24"/>
          <w:szCs w:val="24"/>
        </w:rPr>
        <w:t xml:space="preserve">, and </w:t>
      </w:r>
      <w:proofErr w:type="spellStart"/>
      <w:r w:rsidRPr="00CD2F5C">
        <w:rPr>
          <w:rFonts w:ascii="Cambria" w:hAnsi="Cambria"/>
          <w:sz w:val="24"/>
          <w:szCs w:val="24"/>
        </w:rPr>
        <w:t>PsychARTICLES</w:t>
      </w:r>
      <w:proofErr w:type="spellEnd"/>
      <w:r w:rsidRPr="00CD2F5C">
        <w:rPr>
          <w:rFonts w:ascii="Cambria" w:hAnsi="Cambria"/>
          <w:sz w:val="24"/>
          <w:szCs w:val="24"/>
        </w:rPr>
        <w:t>.  The focus was on primary studies, in English, which investigated patients with a history of anxiety as well as papers exploring the outcomes of childhood trauma, stress, and chronic pain. The subject index terms primarily utilized in the search strategies included: adult; adult survivors of childhood adverse events; anxiety; anxiety disorders; child; child health; chronic pain; humans; mental disorders; mental health; pain; risk factors. To allow for the variety of interpretation, cultural, and language differences of these terms globally, an extended variation of trauma, violence, abuse, and mental health terms were included to ensure as many studies as possible of relevance could be captured for review (</w:t>
      </w:r>
      <w:r w:rsidRPr="00CD2F5C">
        <w:rPr>
          <w:rFonts w:ascii="Cambria" w:hAnsi="Cambria"/>
          <w:b/>
          <w:bCs/>
          <w:sz w:val="24"/>
          <w:szCs w:val="24"/>
        </w:rPr>
        <w:t>Appendix A</w:t>
      </w:r>
      <w:r w:rsidRPr="00CD2F5C">
        <w:rPr>
          <w:rFonts w:ascii="Cambria" w:hAnsi="Cambria"/>
          <w:sz w:val="24"/>
          <w:szCs w:val="24"/>
        </w:rPr>
        <w:t xml:space="preserve">). </w:t>
      </w:r>
    </w:p>
    <w:p w14:paraId="51680C0B"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Selection strategy</w:t>
      </w:r>
    </w:p>
    <w:p w14:paraId="1FA2EC8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screening process was conducted via Rayyan software (Mourad et al. 2016) between September 2021 and May 2022. After the initial title and abstract screening in January </w:t>
      </w:r>
      <w:r w:rsidRPr="00CD2F5C">
        <w:rPr>
          <w:rFonts w:ascii="Cambria" w:hAnsi="Cambria"/>
          <w:sz w:val="24"/>
          <w:szCs w:val="24"/>
        </w:rPr>
        <w:lastRenderedPageBreak/>
        <w:t xml:space="preserve">2022, a 20% quality check of selection and conflict resolution were performed by a second reviewer (with the option to bring in a third reviewer for mediation as needed). </w:t>
      </w:r>
      <w:bookmarkStart w:id="36" w:name="_Hlk145434223"/>
      <w:r w:rsidRPr="00CD2F5C">
        <w:rPr>
          <w:rFonts w:ascii="Cambria" w:hAnsi="Cambria"/>
          <w:sz w:val="24"/>
          <w:szCs w:val="24"/>
        </w:rPr>
        <w:t xml:space="preserve">The full texts of the included abstracts were subsequently screened by the first author for inclusion, with 20% quality check by a second reviewer (an undergraduate psychology dissertation student). Full texts behind a paywall were obtained and provided by the University of Stirling Library and Student Services. It was decided not to contact corresponding authors to access further full-texts due to the large number (n = 91) of initial studies already included in the review. All three co-authors were available to address screening decision conflicts, but the limited number that came up were resolved between reviewers. Progress through screening and selection was illustrated in a PRISMA diagram (see </w:t>
      </w:r>
      <w:r w:rsidRPr="00CD2F5C">
        <w:rPr>
          <w:rFonts w:ascii="Cambria" w:hAnsi="Cambria"/>
          <w:b/>
          <w:bCs/>
          <w:sz w:val="24"/>
          <w:szCs w:val="24"/>
        </w:rPr>
        <w:t>Figure 1</w:t>
      </w:r>
      <w:r w:rsidRPr="00CD2F5C">
        <w:rPr>
          <w:rFonts w:ascii="Cambria" w:hAnsi="Cambria"/>
          <w:sz w:val="24"/>
          <w:szCs w:val="24"/>
        </w:rPr>
        <w:t>).</w:t>
      </w:r>
      <w:bookmarkEnd w:id="36"/>
      <w:r w:rsidRPr="00CD2F5C">
        <w:rPr>
          <w:rFonts w:ascii="Cambria" w:hAnsi="Cambria"/>
          <w:sz w:val="24"/>
          <w:szCs w:val="24"/>
        </w:rPr>
        <w:t xml:space="preserve"> Data extraction was conducted by the first author and reviewed by all three co-authors.</w:t>
      </w:r>
    </w:p>
    <w:p w14:paraId="48597593"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 xml:space="preserve">Eligibility criteria </w:t>
      </w:r>
    </w:p>
    <w:p w14:paraId="2B00638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Specific criteria were identified using the Population, Exposure, Controls, Outcomes, Setting, and Study designs (PECOS) criteria. Population was adults (age 18 years or over) with chronic pain and/or anxiety; self-reported and/or diagnosed. Exposure was adverse childhood experiences/early life adversities/early life or childhood trauma. Controls were not present in all studies but where present incorporated those without adverse childhood experiences who had chronic pain and anxiety. Outcome measures were presence of chronic pain and anxiety. Study designs included observational correlation studies, cross-sectional, interventional, and longitudinal. Exclusion criteria were less than 18 years of age with no anxiety and/or no chronic pain and no childhood adversity.</w:t>
      </w:r>
    </w:p>
    <w:p w14:paraId="48F693FF"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Critical Appraisal</w:t>
      </w:r>
    </w:p>
    <w:p w14:paraId="36987DB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Several study appraisal and quality tools were reviewed for this study, and the main three of relevance were the </w:t>
      </w:r>
      <w:bookmarkStart w:id="37" w:name="_Hlk141427948"/>
      <w:r w:rsidRPr="00CD2F5C">
        <w:rPr>
          <w:rFonts w:ascii="Cambria" w:hAnsi="Cambria"/>
          <w:sz w:val="24"/>
          <w:szCs w:val="24"/>
        </w:rPr>
        <w:t xml:space="preserve">Joanna Briggs Institute </w:t>
      </w:r>
      <w:bookmarkEnd w:id="37"/>
      <w:r w:rsidRPr="00CD2F5C">
        <w:rPr>
          <w:rFonts w:ascii="Cambria" w:hAnsi="Cambria"/>
          <w:sz w:val="24"/>
          <w:szCs w:val="24"/>
        </w:rPr>
        <w:t xml:space="preserve">(JBI) tool (JBI 2020), the </w:t>
      </w:r>
      <w:bookmarkStart w:id="38" w:name="_Hlk110065777"/>
      <w:r w:rsidRPr="00CD2F5C">
        <w:rPr>
          <w:rFonts w:ascii="Cambria" w:hAnsi="Cambria"/>
          <w:sz w:val="24"/>
          <w:szCs w:val="24"/>
        </w:rPr>
        <w:t xml:space="preserve">National Institutes of Health </w:t>
      </w:r>
      <w:bookmarkEnd w:id="38"/>
      <w:r w:rsidRPr="00CD2F5C">
        <w:rPr>
          <w:rFonts w:ascii="Cambria" w:hAnsi="Cambria"/>
          <w:sz w:val="24"/>
          <w:szCs w:val="24"/>
        </w:rPr>
        <w:t>tool (NHLBI NIH 2021) and the Critical Appraisal Skills Programme tool (CASP 2022).</w:t>
      </w:r>
      <w:bookmarkStart w:id="39" w:name="_Hlk110065526"/>
      <w:r w:rsidRPr="00CD2F5C">
        <w:rPr>
          <w:rFonts w:ascii="Cambria" w:hAnsi="Cambria"/>
          <w:sz w:val="24"/>
          <w:szCs w:val="24"/>
        </w:rPr>
        <w:t xml:space="preserve"> The JBI</w:t>
      </w:r>
      <w:bookmarkEnd w:id="39"/>
      <w:r w:rsidRPr="00CD2F5C">
        <w:rPr>
          <w:rFonts w:ascii="Cambria" w:hAnsi="Cambria"/>
          <w:sz w:val="24"/>
          <w:szCs w:val="24"/>
        </w:rPr>
        <w:t>— an independent, international, not-for-profit researching and development organization that develops many critical appraisal checklists involving the feasibility, appropriateness, meaningfulness and effectiveness of healthcare interventions was selected for use in this review (</w:t>
      </w:r>
      <w:proofErr w:type="spellStart"/>
      <w:r w:rsidRPr="00CD2F5C">
        <w:rPr>
          <w:rFonts w:ascii="Cambria" w:hAnsi="Cambria"/>
          <w:sz w:val="24"/>
          <w:szCs w:val="24"/>
        </w:rPr>
        <w:t>Aromataris</w:t>
      </w:r>
      <w:proofErr w:type="spellEnd"/>
      <w:r w:rsidRPr="00CD2F5C">
        <w:rPr>
          <w:rFonts w:ascii="Cambria" w:hAnsi="Cambria"/>
          <w:sz w:val="24"/>
          <w:szCs w:val="24"/>
        </w:rPr>
        <w:t xml:space="preserve"> et al. 2020). The variety of tools to choose </w:t>
      </w:r>
      <w:r w:rsidRPr="00CD2F5C">
        <w:rPr>
          <w:rFonts w:ascii="Cambria" w:hAnsi="Cambria"/>
          <w:sz w:val="24"/>
          <w:szCs w:val="24"/>
        </w:rPr>
        <w:lastRenderedPageBreak/>
        <w:t xml:space="preserve">from is diverse, but the applicable range of study types captured by the JBI Critical appraisal checklist was the widest and helped in making this selection. The full JBI checklist can be reviewed in </w:t>
      </w:r>
      <w:r w:rsidRPr="00CD2F5C">
        <w:rPr>
          <w:rFonts w:ascii="Cambria" w:hAnsi="Cambria"/>
          <w:b/>
          <w:bCs/>
          <w:sz w:val="24"/>
          <w:szCs w:val="24"/>
        </w:rPr>
        <w:t>Appendix B</w:t>
      </w:r>
      <w:r w:rsidRPr="00CD2F5C">
        <w:rPr>
          <w:rFonts w:ascii="Cambria" w:hAnsi="Cambria"/>
          <w:sz w:val="24"/>
          <w:szCs w:val="24"/>
        </w:rPr>
        <w:t xml:space="preserve">, along with a table comparison of each quality appraisal tool originally assessed for feasibility. </w:t>
      </w:r>
    </w:p>
    <w:p w14:paraId="131AEA43" w14:textId="77777777" w:rsidR="009832C0" w:rsidRPr="00CD2F5C" w:rsidRDefault="009832C0" w:rsidP="002B0F75">
      <w:pPr>
        <w:spacing w:line="360" w:lineRule="auto"/>
        <w:rPr>
          <w:rFonts w:ascii="Cambria" w:hAnsi="Cambria"/>
          <w:sz w:val="24"/>
          <w:szCs w:val="24"/>
        </w:rPr>
      </w:pPr>
      <w:r w:rsidRPr="00CD2F5C">
        <w:rPr>
          <w:rFonts w:ascii="Cambria" w:hAnsi="Cambria"/>
          <w:i/>
          <w:sz w:val="24"/>
          <w:szCs w:val="24"/>
        </w:rPr>
        <w:t xml:space="preserve">Data extraction </w:t>
      </w:r>
    </w:p>
    <w:p w14:paraId="0A99C29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Extraction was completed by the first author. Primary outcomes included chronic pain (both generally reported and/or defined conditions), childhood trauma history, and self-reported or diagnosed anxiety. Differences in sex were considered, if applicable depending on data, to highlight how rates of reported ACEs, anxiety rates, and pain outcomes might differ. For the extraction table, the following were examined: author information, year of survey or study, instrument to measure ACEs, participant age (mean), age at the ACEs (year), type and prevalence of ACE (%), association between ACEs and chronic pain (weak, moderate, strong), association between anxiety and chronic pain (weak, moderate, strong).  Chronic pain was not limited to a specific condition and could be reported generally or as a commonly recognized chronic pain condition as noted in </w:t>
      </w:r>
      <w:r w:rsidRPr="00CD2F5C">
        <w:rPr>
          <w:rFonts w:ascii="Cambria" w:hAnsi="Cambria"/>
          <w:b/>
          <w:bCs/>
          <w:sz w:val="24"/>
          <w:szCs w:val="24"/>
        </w:rPr>
        <w:t>Table 1</w:t>
      </w:r>
      <w:r w:rsidRPr="00CD2F5C">
        <w:rPr>
          <w:rFonts w:ascii="Cambria" w:hAnsi="Cambria"/>
          <w:sz w:val="24"/>
          <w:szCs w:val="24"/>
        </w:rPr>
        <w:t>.</w:t>
      </w:r>
    </w:p>
    <w:p w14:paraId="47CAE1D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Where available, information on pain intensity was also extracted as assessed by either self-report, or records of the number of pain sites or chronic pain conditions. For ACEs, terms such as childhood maltreatment, childhood trauma, stressful experiences in childhood, early-life adversity, childhood adversities, and childhood psychosocial stressors were all considered as adverse childhood events. This review used the term ACEs, which links either directly to main types of childhood trauma (physical, sexual, emotional abuse, and neglect) or in combination to indirect types of ACEs (such as parental death, or exposure to domestic violence). In this review, direct ACE definitions were aligned with the terminology of the World Health Organization International Society for Prevention of Child Abuse and Neglect (WHO 2006). The range of outcomes relevant for each factor is summarized in </w:t>
      </w:r>
      <w:r w:rsidRPr="00CD2F5C">
        <w:rPr>
          <w:rFonts w:ascii="Cambria" w:hAnsi="Cambria"/>
          <w:b/>
          <w:bCs/>
          <w:sz w:val="24"/>
          <w:szCs w:val="24"/>
        </w:rPr>
        <w:t>Table 1</w:t>
      </w:r>
      <w:r w:rsidRPr="00CD2F5C">
        <w:rPr>
          <w:rFonts w:ascii="Cambria" w:hAnsi="Cambria"/>
          <w:sz w:val="24"/>
          <w:szCs w:val="24"/>
        </w:rPr>
        <w:t xml:space="preserve">. To align with the diversity in the literature and by country, pain and ACE measures were kept as broad as possible. </w:t>
      </w:r>
    </w:p>
    <w:p w14:paraId="4D45C2ED" w14:textId="77777777" w:rsidR="009832C0" w:rsidRPr="00CD2F5C" w:rsidRDefault="009832C0" w:rsidP="002B0F75">
      <w:pPr>
        <w:spacing w:line="360" w:lineRule="auto"/>
        <w:rPr>
          <w:rFonts w:ascii="Cambria" w:hAnsi="Cambria"/>
          <w:sz w:val="24"/>
          <w:szCs w:val="24"/>
        </w:rPr>
      </w:pPr>
      <w:r w:rsidRPr="00CD2F5C">
        <w:rPr>
          <w:rFonts w:ascii="Cambria" w:hAnsi="Cambria"/>
          <w:b/>
          <w:bCs/>
          <w:sz w:val="24"/>
          <w:szCs w:val="24"/>
        </w:rPr>
        <w:t>Table 1. Systematic review factors of interest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795"/>
        <w:gridCol w:w="7555"/>
      </w:tblGrid>
      <w:tr w:rsidR="009832C0" w:rsidRPr="00CD2F5C" w14:paraId="7E65B107" w14:textId="77777777" w:rsidTr="006417A0">
        <w:trPr>
          <w:trHeight w:val="300"/>
        </w:trPr>
        <w:tc>
          <w:tcPr>
            <w:tcW w:w="1795" w:type="dxa"/>
            <w:tcBorders>
              <w:top w:val="single" w:sz="4" w:space="0" w:color="auto"/>
              <w:bottom w:val="single" w:sz="4" w:space="0" w:color="auto"/>
            </w:tcBorders>
            <w:shd w:val="clear" w:color="auto" w:fill="E7E6E6" w:themeFill="background2"/>
          </w:tcPr>
          <w:p w14:paraId="0853DA30"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lastRenderedPageBreak/>
              <w:t>Factor</w:t>
            </w:r>
          </w:p>
        </w:tc>
        <w:tc>
          <w:tcPr>
            <w:tcW w:w="7555" w:type="dxa"/>
            <w:tcBorders>
              <w:top w:val="single" w:sz="4" w:space="0" w:color="auto"/>
              <w:bottom w:val="single" w:sz="4" w:space="0" w:color="auto"/>
            </w:tcBorders>
            <w:shd w:val="clear" w:color="auto" w:fill="E7E6E6" w:themeFill="background2"/>
          </w:tcPr>
          <w:p w14:paraId="13E61FFC"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Range of outcomes as expressed across identified literature</w:t>
            </w:r>
          </w:p>
        </w:tc>
      </w:tr>
      <w:tr w:rsidR="009832C0" w:rsidRPr="00CD2F5C" w14:paraId="2EB80FCF" w14:textId="77777777" w:rsidTr="006417A0">
        <w:trPr>
          <w:trHeight w:val="300"/>
        </w:trPr>
        <w:tc>
          <w:tcPr>
            <w:tcW w:w="1795" w:type="dxa"/>
          </w:tcPr>
          <w:p w14:paraId="1E45595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ACEs</w:t>
            </w:r>
          </w:p>
          <w:p w14:paraId="658266DA" w14:textId="77777777" w:rsidR="009832C0" w:rsidRPr="00CD2F5C" w:rsidRDefault="009832C0" w:rsidP="002B0F75">
            <w:pPr>
              <w:spacing w:line="360" w:lineRule="auto"/>
              <w:rPr>
                <w:rFonts w:ascii="Cambria" w:hAnsi="Cambria"/>
                <w:sz w:val="24"/>
                <w:szCs w:val="24"/>
              </w:rPr>
            </w:pPr>
          </w:p>
          <w:p w14:paraId="56B0B520" w14:textId="77777777" w:rsidR="009832C0" w:rsidRPr="00CD2F5C" w:rsidRDefault="009832C0" w:rsidP="002B0F75">
            <w:pPr>
              <w:spacing w:line="360" w:lineRule="auto"/>
              <w:rPr>
                <w:rFonts w:ascii="Cambria" w:hAnsi="Cambria"/>
                <w:sz w:val="24"/>
                <w:szCs w:val="24"/>
              </w:rPr>
            </w:pPr>
          </w:p>
          <w:p w14:paraId="54217719" w14:textId="77777777" w:rsidR="009832C0" w:rsidRPr="00CD2F5C" w:rsidRDefault="009832C0" w:rsidP="002B0F75">
            <w:pPr>
              <w:spacing w:line="360" w:lineRule="auto"/>
              <w:rPr>
                <w:rFonts w:ascii="Cambria" w:hAnsi="Cambria"/>
                <w:sz w:val="24"/>
                <w:szCs w:val="24"/>
              </w:rPr>
            </w:pPr>
          </w:p>
          <w:p w14:paraId="22E2D832" w14:textId="77777777" w:rsidR="009832C0" w:rsidRPr="00CD2F5C" w:rsidRDefault="009832C0" w:rsidP="002B0F75">
            <w:pPr>
              <w:spacing w:line="360" w:lineRule="auto"/>
              <w:rPr>
                <w:rFonts w:ascii="Cambria" w:hAnsi="Cambria"/>
                <w:sz w:val="24"/>
                <w:szCs w:val="24"/>
              </w:rPr>
            </w:pPr>
          </w:p>
          <w:p w14:paraId="738CAF08" w14:textId="77777777" w:rsidR="009832C0" w:rsidRPr="00CD2F5C" w:rsidRDefault="009832C0" w:rsidP="002B0F75">
            <w:pPr>
              <w:spacing w:line="360" w:lineRule="auto"/>
              <w:rPr>
                <w:rFonts w:ascii="Cambria" w:hAnsi="Cambria"/>
                <w:sz w:val="24"/>
                <w:szCs w:val="24"/>
              </w:rPr>
            </w:pPr>
          </w:p>
          <w:p w14:paraId="7723C0E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Anxiety</w:t>
            </w:r>
          </w:p>
        </w:tc>
        <w:tc>
          <w:tcPr>
            <w:tcW w:w="7555" w:type="dxa"/>
          </w:tcPr>
          <w:p w14:paraId="31AD9AE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Childhood maltreatment; childhood trauma; stressful experiences in childhood; early-life adversity; physical abuse; sexual abuse; emotional abuse; verbal abuse; emotional or physical neglect; parental death or suicide; exposure to domestic violence; witnessing violence; parental incarceration; exposure to/witnessing addiction or drug abuse; parental divorce; lack of access to basic needs (going to doctor, food, etc.)</w:t>
            </w:r>
          </w:p>
          <w:p w14:paraId="6C1CFA3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Self-reported; diagnosed</w:t>
            </w:r>
          </w:p>
        </w:tc>
      </w:tr>
      <w:tr w:rsidR="009832C0" w:rsidRPr="00CD2F5C" w14:paraId="5BD9D4B9" w14:textId="77777777" w:rsidTr="006417A0">
        <w:trPr>
          <w:trHeight w:val="300"/>
        </w:trPr>
        <w:tc>
          <w:tcPr>
            <w:tcW w:w="1795" w:type="dxa"/>
          </w:tcPr>
          <w:p w14:paraId="66434D8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p w14:paraId="3F02A311" w14:textId="77777777" w:rsidR="009832C0" w:rsidRPr="00CD2F5C" w:rsidRDefault="009832C0" w:rsidP="002B0F75">
            <w:pPr>
              <w:spacing w:line="360" w:lineRule="auto"/>
              <w:rPr>
                <w:rFonts w:ascii="Cambria" w:hAnsi="Cambria"/>
                <w:sz w:val="24"/>
                <w:szCs w:val="24"/>
              </w:rPr>
            </w:pPr>
          </w:p>
          <w:p w14:paraId="63368749" w14:textId="77777777" w:rsidR="009832C0" w:rsidRPr="00CD2F5C" w:rsidRDefault="009832C0" w:rsidP="002B0F75">
            <w:pPr>
              <w:spacing w:line="360" w:lineRule="auto"/>
              <w:jc w:val="center"/>
              <w:rPr>
                <w:rFonts w:ascii="Cambria" w:hAnsi="Cambria"/>
                <w:sz w:val="24"/>
                <w:szCs w:val="24"/>
              </w:rPr>
            </w:pPr>
          </w:p>
        </w:tc>
        <w:tc>
          <w:tcPr>
            <w:tcW w:w="7555" w:type="dxa"/>
          </w:tcPr>
          <w:p w14:paraId="3DF0D9A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Pain lasting more than 3 months; self-reported number of pain sites; chronic pain conditions (e.g., fibromyalgia, migraine, chronic urologic and/or pelvic pain, back pain, arthritis)</w:t>
            </w:r>
          </w:p>
        </w:tc>
      </w:tr>
    </w:tbl>
    <w:p w14:paraId="4EC291E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ACEs, adverse childhood experiences.</w:t>
      </w:r>
    </w:p>
    <w:p w14:paraId="196321F5"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Data analysis: narrative synthesis</w:t>
      </w:r>
    </w:p>
    <w:p w14:paraId="0B1A76D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 </w:t>
      </w:r>
      <w:bookmarkStart w:id="40" w:name="_Hlk111389811"/>
      <w:r w:rsidRPr="00CD2F5C">
        <w:rPr>
          <w:rFonts w:ascii="Cambria" w:hAnsi="Cambria"/>
          <w:sz w:val="24"/>
          <w:szCs w:val="24"/>
        </w:rPr>
        <w:t xml:space="preserve">narrative synthesis </w:t>
      </w:r>
      <w:bookmarkEnd w:id="40"/>
      <w:r w:rsidRPr="00CD2F5C">
        <w:rPr>
          <w:rFonts w:ascii="Cambria" w:hAnsi="Cambria"/>
          <w:sz w:val="24"/>
          <w:szCs w:val="24"/>
        </w:rPr>
        <w:t xml:space="preserve">of findings and stratified results based on the type of persistent pain disorders and direct and indirect ACE exposures was conducted. Results from the studies were summarized and tabulated according to the variables listed above and discussed in narrative form. </w:t>
      </w:r>
    </w:p>
    <w:p w14:paraId="114DF0D9" w14:textId="77777777" w:rsidR="009832C0" w:rsidRPr="00CD2F5C" w:rsidRDefault="009832C0" w:rsidP="002B0F75">
      <w:pPr>
        <w:spacing w:line="360" w:lineRule="auto"/>
        <w:rPr>
          <w:rFonts w:ascii="Cambria" w:hAnsi="Cambria"/>
          <w:sz w:val="24"/>
          <w:szCs w:val="24"/>
          <w:u w:val="single"/>
        </w:rPr>
      </w:pPr>
      <w:bookmarkStart w:id="41" w:name="_Hlk145434368"/>
      <w:r w:rsidRPr="00CD2F5C">
        <w:rPr>
          <w:rFonts w:ascii="Cambria" w:hAnsi="Cambria"/>
          <w:sz w:val="24"/>
          <w:szCs w:val="24"/>
        </w:rPr>
        <w:t>For article appraisal and data extraction post the JBI quality check, a qualitative description of the association and the strength of the reported association (strong, moderate, weak) were assigned. These were based on the article’s characterization of results per the abstract, results, and discussion section, as “strong” or “weak”. Strong or weak were further justified by the statistical significance (</w:t>
      </w:r>
      <w:r w:rsidRPr="00CD2F5C">
        <w:rPr>
          <w:rFonts w:ascii="Cambria" w:hAnsi="Cambria"/>
          <w:i/>
          <w:iCs/>
          <w:sz w:val="24"/>
          <w:szCs w:val="24"/>
        </w:rPr>
        <w:t>p</w:t>
      </w:r>
      <w:r w:rsidRPr="00CD2F5C">
        <w:rPr>
          <w:rFonts w:ascii="Cambria" w:hAnsi="Cambria"/>
          <w:sz w:val="24"/>
          <w:szCs w:val="24"/>
        </w:rPr>
        <w:t xml:space="preserve"> &lt; 0.05) of the provided results or the effect size; depending on data availability in each study; on the score of the respective study questionnaire scale which was used to measure ACEs, anxiety, and chronic pain, etc. </w:t>
      </w:r>
      <w:bookmarkEnd w:id="41"/>
      <w:r w:rsidRPr="00CD2F5C">
        <w:rPr>
          <w:rFonts w:ascii="Cambria" w:hAnsi="Cambria"/>
          <w:sz w:val="24"/>
          <w:szCs w:val="24"/>
        </w:rPr>
        <w:t xml:space="preserve">Weak associations and those without enough data to make a conclusion were still included and reported to avoid bias in the results reported. Rather than relying on visual means of determining publication bias (e.g. funnel plot) which can overlook other sources of bias </w:t>
      </w:r>
      <w:r w:rsidRPr="00CD2F5C">
        <w:rPr>
          <w:rFonts w:ascii="Cambria" w:hAnsi="Cambria"/>
          <w:sz w:val="24"/>
          <w:szCs w:val="24"/>
        </w:rPr>
        <w:lastRenderedPageBreak/>
        <w:t>typically present in meta-analysis, such as heterogeneity, we have instead transparently reported the heterogeneity for all analyses conducted.</w:t>
      </w:r>
    </w:p>
    <w:p w14:paraId="761D6708"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Data analysis: meta-analysis</w:t>
      </w:r>
    </w:p>
    <w:p w14:paraId="61069291" w14:textId="77777777" w:rsidR="009832C0" w:rsidRPr="00CD2F5C" w:rsidRDefault="009832C0" w:rsidP="002B0F75">
      <w:pPr>
        <w:spacing w:line="360" w:lineRule="auto"/>
        <w:rPr>
          <w:rFonts w:ascii="Cambria" w:hAnsi="Cambria"/>
          <w:sz w:val="24"/>
          <w:szCs w:val="24"/>
        </w:rPr>
      </w:pPr>
      <w:bookmarkStart w:id="42" w:name="_Hlk145434590"/>
      <w:r w:rsidRPr="00CD2F5C">
        <w:rPr>
          <w:rFonts w:ascii="Cambria" w:hAnsi="Cambria"/>
          <w:sz w:val="24"/>
          <w:szCs w:val="24"/>
        </w:rPr>
        <w:t xml:space="preserve">Anxiety and a history of childhood adversity may influence chronic pain experiences. </w:t>
      </w:r>
      <w:bookmarkStart w:id="43" w:name="_Hlk141427226"/>
      <w:r w:rsidRPr="00CD2F5C">
        <w:rPr>
          <w:rFonts w:ascii="Cambria" w:hAnsi="Cambria"/>
          <w:sz w:val="24"/>
          <w:szCs w:val="24"/>
        </w:rPr>
        <w:t>Meta-analyses were conducted using R statistical software (R Core Team 2021) to investigate the size of any associations between types of ACE, anxiety and/or chronic pain.</w:t>
      </w:r>
      <w:bookmarkEnd w:id="43"/>
      <w:r w:rsidRPr="00CD2F5C">
        <w:rPr>
          <w:rFonts w:ascii="Cambria" w:hAnsi="Cambria"/>
          <w:sz w:val="24"/>
          <w:szCs w:val="24"/>
        </w:rPr>
        <w:t xml:space="preserve"> After considering multiple approaches to the available data and reported associations, it made sense to define by three types of different relationships for conducting the meta-analyses: Anxiety and chronic pain; ACEs and chronic pain; and ACEs and anxiety. This was because these were the patterns of associations most commonly available in the selected studies. </w:t>
      </w:r>
    </w:p>
    <w:p w14:paraId="5431BDD5" w14:textId="77777777" w:rsidR="009832C0" w:rsidRPr="00CD2F5C" w:rsidRDefault="009832C0" w:rsidP="002B0F75">
      <w:pPr>
        <w:spacing w:line="360" w:lineRule="auto"/>
        <w:rPr>
          <w:rFonts w:ascii="Cambria" w:hAnsi="Cambria"/>
          <w:sz w:val="24"/>
          <w:szCs w:val="24"/>
        </w:rPr>
      </w:pPr>
    </w:p>
    <w:p w14:paraId="134C899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This involved pooling correlations (using the correlation coefficient and sample size for each study), or by using a binary classification of participants using one variable, and comparing means reported for the other variables. This approach was substituted with an Odds Ratio (OR) analysis when the scales used across studies were too different to be comparable; however, it may not be possible in all cases to classify the study participants. The extraction tables of the meta-analyses conducted are included in </w:t>
      </w:r>
      <w:r w:rsidRPr="00CD2F5C">
        <w:rPr>
          <w:rFonts w:ascii="Cambria" w:hAnsi="Cambria"/>
          <w:b/>
          <w:bCs/>
          <w:sz w:val="24"/>
          <w:szCs w:val="24"/>
        </w:rPr>
        <w:t>Appendix C</w:t>
      </w:r>
      <w:r w:rsidRPr="00CD2F5C">
        <w:rPr>
          <w:rFonts w:ascii="Cambria" w:hAnsi="Cambria"/>
          <w:sz w:val="24"/>
          <w:szCs w:val="24"/>
        </w:rPr>
        <w:t xml:space="preserve">. </w:t>
      </w:r>
      <w:bookmarkStart w:id="44" w:name="_Hlk145498526"/>
      <w:r w:rsidRPr="00CD2F5C">
        <w:rPr>
          <w:rFonts w:ascii="Cambria" w:hAnsi="Cambria"/>
          <w:sz w:val="24"/>
          <w:szCs w:val="24"/>
        </w:rPr>
        <w:t xml:space="preserve">As even two studies are considered sufficient to perform a meta-analysis, provided that the two studies can be meaningfully pooled and provided their results are sufficiently 'similar' (Ryan 2016), there was no minimum study number set for conducting analyses. </w:t>
      </w:r>
    </w:p>
    <w:p w14:paraId="7A465CCF" w14:textId="77777777" w:rsidR="009832C0" w:rsidRPr="00CD2F5C" w:rsidRDefault="009832C0" w:rsidP="002B0F75">
      <w:pPr>
        <w:spacing w:line="360" w:lineRule="auto"/>
        <w:rPr>
          <w:rFonts w:ascii="Cambria" w:hAnsi="Cambria"/>
          <w:sz w:val="24"/>
          <w:szCs w:val="24"/>
        </w:rPr>
      </w:pPr>
      <w:bookmarkStart w:id="45" w:name="_Hlk117951763"/>
      <w:bookmarkEnd w:id="44"/>
      <w:r w:rsidRPr="00CD2F5C">
        <w:rPr>
          <w:rFonts w:ascii="Cambria" w:hAnsi="Cambria"/>
          <w:sz w:val="24"/>
          <w:szCs w:val="24"/>
        </w:rPr>
        <w:t>An important limitation for the analyses was the wide variety of ACEs and chronic pain manifestations, resulting in variation seen in the methods, populations, and theoretical perspectives of the studies. Consequently, even if efforts were made to make the analysis as inclusive as possible, not every study could be included in the analysis for each association.</w:t>
      </w:r>
      <w:bookmarkEnd w:id="45"/>
      <w:r w:rsidRPr="00CD2F5C">
        <w:rPr>
          <w:rFonts w:ascii="Cambria" w:hAnsi="Cambria"/>
          <w:sz w:val="24"/>
          <w:szCs w:val="24"/>
        </w:rPr>
        <w:t xml:space="preserve"> Additionally, it should be noted that some studies are included several times; this is the consequence of those studies not reporting overall measurements or categories of either ACEs or chronic pain. Whenever possible, the separate measures were manually summarized to produce effects more in line with the rest of the studies; unfortunately, this was not always feasible. Hence, in studies where several categories of these variables were </w:t>
      </w:r>
      <w:r w:rsidRPr="00CD2F5C">
        <w:rPr>
          <w:rFonts w:ascii="Cambria" w:hAnsi="Cambria"/>
          <w:sz w:val="24"/>
          <w:szCs w:val="24"/>
        </w:rPr>
        <w:lastRenderedPageBreak/>
        <w:t>reported separately, each subcategory was included as a separate effect size in the meta-analysis.</w:t>
      </w:r>
    </w:p>
    <w:bookmarkEnd w:id="42"/>
    <w:p w14:paraId="786368EE" w14:textId="77777777" w:rsidR="009832C0" w:rsidRPr="00CD2F5C" w:rsidRDefault="009832C0" w:rsidP="002B0F75">
      <w:pPr>
        <w:spacing w:line="360" w:lineRule="auto"/>
        <w:rPr>
          <w:rFonts w:ascii="Cambria" w:hAnsi="Cambria"/>
          <w:i/>
          <w:sz w:val="24"/>
          <w:szCs w:val="24"/>
        </w:rPr>
      </w:pPr>
      <w:r w:rsidRPr="00CD2F5C">
        <w:rPr>
          <w:rFonts w:ascii="Cambria" w:hAnsi="Cambria"/>
          <w:i/>
          <w:sz w:val="24"/>
          <w:szCs w:val="24"/>
        </w:rPr>
        <w:t xml:space="preserve">Data Protection </w:t>
      </w:r>
    </w:p>
    <w:p w14:paraId="18BD7CDB" w14:textId="77777777" w:rsidR="009832C0" w:rsidRPr="00CD2F5C" w:rsidRDefault="009832C0" w:rsidP="002B0F75">
      <w:pPr>
        <w:spacing w:line="360" w:lineRule="auto"/>
        <w:rPr>
          <w:rFonts w:ascii="Cambria" w:hAnsi="Cambria"/>
          <w:b/>
          <w:bCs/>
          <w:sz w:val="24"/>
          <w:szCs w:val="24"/>
        </w:rPr>
      </w:pPr>
      <w:r w:rsidRPr="00CD2F5C">
        <w:rPr>
          <w:rFonts w:ascii="Cambria" w:hAnsi="Cambria"/>
          <w:sz w:val="24"/>
          <w:szCs w:val="24"/>
        </w:rPr>
        <w:t xml:space="preserve">Databases from the CDC are protected by Public Law 107‐174 (No FEAR Act). All data relevant to this review was stored on a password protected laptop that is locked up when not in use and was only accessible to the lead author. No personal identifiers were present in the data used.  </w:t>
      </w:r>
    </w:p>
    <w:p w14:paraId="386BA3EB"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Results</w:t>
      </w:r>
    </w:p>
    <w:p w14:paraId="147C375B"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Systematic searches</w:t>
      </w:r>
    </w:p>
    <w:p w14:paraId="7C644E6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 total of 3,415 articles were identified from the searches, and 519 were deleted due to being duplicates. </w:t>
      </w:r>
      <w:bookmarkStart w:id="46" w:name="_Hlk145498691"/>
      <w:r w:rsidRPr="00CD2F5C">
        <w:rPr>
          <w:rFonts w:ascii="Cambria" w:hAnsi="Cambria"/>
          <w:sz w:val="24"/>
          <w:szCs w:val="24"/>
        </w:rPr>
        <w:t xml:space="preserve">A total of 91 articles were initially identified for extraction after reaching consensus with the secondary reviewer. Eight discrepancies between reviewers were identified at this stage, but consensus was agreed in discussion. </w:t>
      </w:r>
      <w:bookmarkStart w:id="47" w:name="_Hlk145155222"/>
      <w:r w:rsidRPr="00CD2F5C">
        <w:rPr>
          <w:rFonts w:ascii="Cambria" w:hAnsi="Cambria"/>
          <w:sz w:val="24"/>
          <w:szCs w:val="24"/>
        </w:rPr>
        <w:t xml:space="preserve">After careful review of the available data in each and their feasibility for the analyses, a final total of 52 studies were selected for inclusion in this study based on the quality appraised via the JBI checklist (full table in </w:t>
      </w:r>
      <w:r w:rsidRPr="00CD2F5C">
        <w:rPr>
          <w:rFonts w:ascii="Cambria" w:hAnsi="Cambria"/>
          <w:b/>
          <w:bCs/>
          <w:sz w:val="24"/>
          <w:szCs w:val="24"/>
        </w:rPr>
        <w:t>Appendix B</w:t>
      </w:r>
      <w:r w:rsidRPr="00CD2F5C">
        <w:rPr>
          <w:rFonts w:ascii="Cambria" w:hAnsi="Cambria"/>
          <w:sz w:val="24"/>
          <w:szCs w:val="24"/>
        </w:rPr>
        <w:t xml:space="preserve">). There were no discrepancies that required an outside mediator, so the consensus ultimately came to 100%. </w:t>
      </w:r>
      <w:bookmarkEnd w:id="46"/>
      <w:r w:rsidRPr="00CD2F5C">
        <w:rPr>
          <w:rFonts w:ascii="Cambria" w:hAnsi="Cambria"/>
          <w:sz w:val="24"/>
          <w:szCs w:val="24"/>
        </w:rPr>
        <w:t xml:space="preserve">The PRISMA Diagram of the systematic review article selection is displayed in </w:t>
      </w:r>
      <w:r w:rsidRPr="00CD2F5C">
        <w:rPr>
          <w:rFonts w:ascii="Cambria" w:hAnsi="Cambria"/>
          <w:b/>
          <w:bCs/>
          <w:sz w:val="24"/>
          <w:szCs w:val="24"/>
        </w:rPr>
        <w:t>Figure 1</w:t>
      </w:r>
      <w:r w:rsidRPr="00CD2F5C">
        <w:rPr>
          <w:rFonts w:ascii="Cambria" w:hAnsi="Cambria"/>
          <w:sz w:val="24"/>
          <w:szCs w:val="24"/>
        </w:rPr>
        <w:t>.</w:t>
      </w:r>
    </w:p>
    <w:p w14:paraId="2F200BE0" w14:textId="77777777" w:rsidR="009832C0" w:rsidRPr="00CD2F5C" w:rsidRDefault="009832C0" w:rsidP="002B0F75">
      <w:pPr>
        <w:spacing w:line="360" w:lineRule="auto"/>
        <w:rPr>
          <w:rFonts w:ascii="Cambria" w:hAnsi="Cambria"/>
          <w:i/>
          <w:iCs/>
          <w:sz w:val="24"/>
          <w:szCs w:val="24"/>
        </w:rPr>
      </w:pPr>
      <w:r w:rsidRPr="00CD2F5C">
        <w:rPr>
          <w:rFonts w:ascii="Cambria" w:hAnsi="Cambria"/>
          <w:b/>
          <w:bCs/>
          <w:sz w:val="24"/>
          <w:szCs w:val="24"/>
        </w:rPr>
        <w:t>Figure 1. Study identification</w:t>
      </w:r>
    </w:p>
    <w:p w14:paraId="7B745707" w14:textId="77777777" w:rsidR="009832C0" w:rsidRPr="00CD2F5C" w:rsidRDefault="009832C0" w:rsidP="002B0F75">
      <w:pPr>
        <w:spacing w:line="360" w:lineRule="auto"/>
        <w:rPr>
          <w:rFonts w:ascii="Cambria" w:hAnsi="Cambria"/>
          <w:b/>
          <w:bCs/>
          <w:sz w:val="24"/>
          <w:szCs w:val="24"/>
        </w:rPr>
      </w:pPr>
      <w:r w:rsidRPr="00CD2F5C">
        <w:rPr>
          <w:rFonts w:ascii="Cambria" w:hAnsi="Cambria"/>
          <w:noProof/>
          <w:sz w:val="24"/>
          <w:szCs w:val="24"/>
        </w:rPr>
        <w:lastRenderedPageBreak/>
        <w:drawing>
          <wp:inline distT="0" distB="0" distL="0" distR="0" wp14:anchorId="64D225A1" wp14:editId="6CFA7A89">
            <wp:extent cx="4973053" cy="5596029"/>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77573" cy="5601116"/>
                    </a:xfrm>
                    <a:prstGeom prst="rect">
                      <a:avLst/>
                    </a:prstGeom>
                    <a:noFill/>
                    <a:ln>
                      <a:noFill/>
                    </a:ln>
                  </pic:spPr>
                </pic:pic>
              </a:graphicData>
            </a:graphic>
          </wp:inline>
        </w:drawing>
      </w:r>
    </w:p>
    <w:bookmarkEnd w:id="47"/>
    <w:p w14:paraId="393BB2C3"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 xml:space="preserve">Narrative synthesis </w:t>
      </w:r>
    </w:p>
    <w:p w14:paraId="09EEAE71" w14:textId="0AF36114" w:rsidR="001B256E" w:rsidRPr="00CD2F5C" w:rsidRDefault="009832C0" w:rsidP="002B0F75">
      <w:pPr>
        <w:spacing w:line="360" w:lineRule="auto"/>
        <w:rPr>
          <w:rFonts w:ascii="Cambria" w:hAnsi="Cambria"/>
          <w:sz w:val="24"/>
          <w:szCs w:val="24"/>
        </w:rPr>
      </w:pPr>
      <w:bookmarkStart w:id="48" w:name="_Hlk146127261"/>
      <w:r w:rsidRPr="00CD2F5C">
        <w:rPr>
          <w:rFonts w:ascii="Cambria" w:hAnsi="Cambria"/>
          <w:sz w:val="24"/>
          <w:szCs w:val="24"/>
        </w:rPr>
        <w:t xml:space="preserve">Gender and ethnicity were not captured systematically across all studies; however, the majority of studies did report age or mean age. Based on the selected studies which reported age (n = 48), the mean participant age was 44.1 years old (SD = 8.52) and ranged from 19 years to 60 years, with most participants in their forties. </w:t>
      </w:r>
      <w:bookmarkEnd w:id="48"/>
      <w:r w:rsidRPr="00CD2F5C">
        <w:rPr>
          <w:rFonts w:ascii="Cambria" w:hAnsi="Cambria"/>
          <w:sz w:val="24"/>
          <w:szCs w:val="24"/>
        </w:rPr>
        <w:t xml:space="preserve">For the measurement tools, the childhood trauma questionnaire (CTQ) was the most commonly used (18/52 or 35% of studies). For the selected outcomes to capture pain in adults, general or undefined chronic pain was most commonly measured in 59.6% of studies, followed by migraine or headache in 21.2%, back pain in 17.3%, arthritis in 17.3%, fibromyalgia in 15.4%, and </w:t>
      </w:r>
      <w:r w:rsidRPr="00CD2F5C">
        <w:rPr>
          <w:rFonts w:ascii="Cambria" w:hAnsi="Cambria"/>
          <w:sz w:val="24"/>
          <w:szCs w:val="24"/>
        </w:rPr>
        <w:lastRenderedPageBreak/>
        <w:t xml:space="preserve">pelvic pain in 15.4% of studies. The characteristics of all included studies are compiled in </w:t>
      </w:r>
      <w:r w:rsidRPr="00CD2F5C">
        <w:rPr>
          <w:rFonts w:ascii="Cambria" w:hAnsi="Cambria"/>
          <w:b/>
          <w:bCs/>
          <w:sz w:val="24"/>
          <w:szCs w:val="24"/>
        </w:rPr>
        <w:t>Table 2</w:t>
      </w:r>
      <w:r w:rsidRPr="00CD2F5C">
        <w:rPr>
          <w:rFonts w:ascii="Cambria" w:hAnsi="Cambria"/>
          <w:sz w:val="24"/>
          <w:szCs w:val="24"/>
        </w:rPr>
        <w:t>.</w:t>
      </w:r>
    </w:p>
    <w:p w14:paraId="7DCCD46D" w14:textId="5E30A672" w:rsidR="00A868FB" w:rsidRDefault="001B256E" w:rsidP="002B0F75">
      <w:pPr>
        <w:spacing w:line="360" w:lineRule="auto"/>
        <w:rPr>
          <w:rFonts w:ascii="Cambria" w:hAnsi="Cambria"/>
          <w:b/>
          <w:bCs/>
          <w:sz w:val="24"/>
          <w:szCs w:val="24"/>
        </w:rPr>
      </w:pPr>
      <w:r w:rsidRPr="00CD2F5C">
        <w:rPr>
          <w:rFonts w:ascii="Cambria" w:hAnsi="Cambria"/>
          <w:b/>
          <w:bCs/>
          <w:sz w:val="24"/>
          <w:szCs w:val="24"/>
        </w:rPr>
        <w:t>Table 2. Characteristics of selected studies for narrative synthesis (n = 52)</w:t>
      </w:r>
    </w:p>
    <w:p w14:paraId="49D3E3B6" w14:textId="77777777" w:rsidR="001B256E" w:rsidRPr="002B0F75" w:rsidRDefault="001B256E" w:rsidP="002B0F75">
      <w:pPr>
        <w:spacing w:line="360" w:lineRule="auto"/>
        <w:rPr>
          <w:rFonts w:ascii="Cambria" w:hAnsi="Cambria"/>
          <w:sz w:val="24"/>
          <w:szCs w:val="24"/>
        </w:rPr>
        <w:sectPr w:rsidR="001B256E" w:rsidRPr="002B0F75" w:rsidSect="004B3F3A">
          <w:footerReference w:type="default" r:id="rId36"/>
          <w:pgSz w:w="12240" w:h="15840"/>
          <w:pgMar w:top="1440" w:right="1440" w:bottom="1440" w:left="1440" w:header="720" w:footer="720" w:gutter="0"/>
          <w:pgNumType w:start="1"/>
          <w:cols w:space="720"/>
          <w:docGrid w:linePitch="360"/>
        </w:sectPr>
      </w:pPr>
    </w:p>
    <w:tbl>
      <w:tblPr>
        <w:tblStyle w:val="TableGrid"/>
        <w:tblpPr w:leftFromText="180" w:rightFromText="180" w:vertAnchor="page" w:horzAnchor="margin" w:tblpY="3230"/>
        <w:tblW w:w="13680" w:type="dxa"/>
        <w:tblBorders>
          <w:insideV w:val="none" w:sz="0" w:space="0" w:color="auto"/>
        </w:tblBorders>
        <w:tblLayout w:type="fixed"/>
        <w:tblLook w:val="04A0" w:firstRow="1" w:lastRow="0" w:firstColumn="1" w:lastColumn="0" w:noHBand="0" w:noVBand="1"/>
      </w:tblPr>
      <w:tblGrid>
        <w:gridCol w:w="1525"/>
        <w:gridCol w:w="810"/>
        <w:gridCol w:w="1800"/>
        <w:gridCol w:w="1170"/>
        <w:gridCol w:w="2610"/>
        <w:gridCol w:w="1980"/>
        <w:gridCol w:w="90"/>
        <w:gridCol w:w="1800"/>
        <w:gridCol w:w="1895"/>
      </w:tblGrid>
      <w:tr w:rsidR="001B256E" w:rsidRPr="00CD2F5C" w14:paraId="6C1BDCCA" w14:textId="77777777" w:rsidTr="002B0F75">
        <w:trPr>
          <w:trHeight w:val="927"/>
        </w:trPr>
        <w:tc>
          <w:tcPr>
            <w:tcW w:w="1525" w:type="dxa"/>
            <w:tcBorders>
              <w:bottom w:val="single" w:sz="4" w:space="0" w:color="auto"/>
            </w:tcBorders>
            <w:shd w:val="clear" w:color="auto" w:fill="E7E6E6" w:themeFill="background2"/>
            <w:vAlign w:val="center"/>
          </w:tcPr>
          <w:p w14:paraId="4809EAEE"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lastRenderedPageBreak/>
              <w:t>Study ID*</w:t>
            </w:r>
          </w:p>
        </w:tc>
        <w:tc>
          <w:tcPr>
            <w:tcW w:w="810" w:type="dxa"/>
            <w:tcBorders>
              <w:bottom w:val="single" w:sz="4" w:space="0" w:color="auto"/>
            </w:tcBorders>
            <w:shd w:val="clear" w:color="auto" w:fill="E7E6E6" w:themeFill="background2"/>
            <w:vAlign w:val="center"/>
          </w:tcPr>
          <w:p w14:paraId="3F8682C7" w14:textId="77777777" w:rsidR="001B256E" w:rsidRPr="00CD2F5C" w:rsidRDefault="001B256E" w:rsidP="002B0F75">
            <w:pPr>
              <w:tabs>
                <w:tab w:val="left" w:pos="1710"/>
              </w:tabs>
              <w:spacing w:line="360" w:lineRule="auto"/>
              <w:rPr>
                <w:rFonts w:ascii="Cambria" w:hAnsi="Cambria" w:cstheme="minorHAnsi"/>
                <w:b/>
                <w:bCs/>
                <w:sz w:val="24"/>
                <w:szCs w:val="24"/>
              </w:rPr>
            </w:pPr>
            <w:r w:rsidRPr="00CD2F5C">
              <w:rPr>
                <w:rFonts w:ascii="Cambria" w:hAnsi="Cambria" w:cstheme="minorHAnsi"/>
                <w:b/>
                <w:bCs/>
                <w:sz w:val="24"/>
                <w:szCs w:val="24"/>
              </w:rPr>
              <w:t xml:space="preserve">Year </w:t>
            </w:r>
          </w:p>
        </w:tc>
        <w:tc>
          <w:tcPr>
            <w:tcW w:w="1800" w:type="dxa"/>
            <w:tcBorders>
              <w:bottom w:val="single" w:sz="4" w:space="0" w:color="auto"/>
            </w:tcBorders>
            <w:shd w:val="clear" w:color="auto" w:fill="E7E6E6" w:themeFill="background2"/>
            <w:vAlign w:val="center"/>
          </w:tcPr>
          <w:p w14:paraId="2653EFBA"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Instrument(s) to measure ACEs, pain, and/or anxiety</w:t>
            </w:r>
          </w:p>
        </w:tc>
        <w:tc>
          <w:tcPr>
            <w:tcW w:w="1170" w:type="dxa"/>
            <w:tcBorders>
              <w:bottom w:val="single" w:sz="4" w:space="0" w:color="auto"/>
            </w:tcBorders>
            <w:shd w:val="clear" w:color="auto" w:fill="E7E6E6" w:themeFill="background2"/>
            <w:vAlign w:val="center"/>
          </w:tcPr>
          <w:p w14:paraId="7D206777" w14:textId="77777777" w:rsidR="001B256E" w:rsidRPr="00CD2F5C" w:rsidRDefault="001B256E" w:rsidP="002B0F75">
            <w:pPr>
              <w:tabs>
                <w:tab w:val="left" w:pos="1710"/>
              </w:tabs>
              <w:spacing w:line="360" w:lineRule="auto"/>
              <w:rPr>
                <w:rFonts w:ascii="Cambria" w:hAnsi="Cambria" w:cstheme="minorHAnsi"/>
                <w:b/>
                <w:bCs/>
                <w:sz w:val="24"/>
                <w:szCs w:val="24"/>
              </w:rPr>
            </w:pPr>
            <w:r w:rsidRPr="00CD2F5C">
              <w:rPr>
                <w:rFonts w:ascii="Cambria" w:hAnsi="Cambria" w:cstheme="minorHAnsi"/>
                <w:b/>
                <w:bCs/>
                <w:sz w:val="24"/>
                <w:szCs w:val="24"/>
              </w:rPr>
              <w:t>Mean age</w:t>
            </w:r>
          </w:p>
        </w:tc>
        <w:tc>
          <w:tcPr>
            <w:tcW w:w="2610" w:type="dxa"/>
            <w:tcBorders>
              <w:bottom w:val="single" w:sz="4" w:space="0" w:color="auto"/>
            </w:tcBorders>
            <w:shd w:val="clear" w:color="auto" w:fill="E7E6E6" w:themeFill="background2"/>
            <w:vAlign w:val="center"/>
          </w:tcPr>
          <w:p w14:paraId="5F2E4993"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Type and prevalence of ACE (</w:t>
            </w:r>
            <w:proofErr w:type="gramStart"/>
            <w:r w:rsidRPr="00CD2F5C">
              <w:rPr>
                <w:rFonts w:ascii="Cambria" w:hAnsi="Cambria"/>
                <w:b/>
                <w:bCs/>
                <w:sz w:val="24"/>
                <w:szCs w:val="24"/>
              </w:rPr>
              <w:t>%)*</w:t>
            </w:r>
            <w:proofErr w:type="gramEnd"/>
            <w:r w:rsidRPr="00CD2F5C">
              <w:rPr>
                <w:rFonts w:ascii="Cambria" w:hAnsi="Cambria"/>
                <w:b/>
                <w:bCs/>
                <w:sz w:val="24"/>
                <w:szCs w:val="24"/>
              </w:rPr>
              <w:t>*</w:t>
            </w:r>
          </w:p>
        </w:tc>
        <w:tc>
          <w:tcPr>
            <w:tcW w:w="1980" w:type="dxa"/>
            <w:tcBorders>
              <w:bottom w:val="single" w:sz="4" w:space="0" w:color="auto"/>
            </w:tcBorders>
            <w:shd w:val="clear" w:color="auto" w:fill="E7E6E6" w:themeFill="background2"/>
          </w:tcPr>
          <w:p w14:paraId="0DC9644C" w14:textId="77777777" w:rsidR="001B256E" w:rsidRPr="00CD2F5C" w:rsidRDefault="001B256E" w:rsidP="002B0F75">
            <w:pPr>
              <w:tabs>
                <w:tab w:val="left" w:pos="1710"/>
              </w:tabs>
              <w:spacing w:line="360" w:lineRule="auto"/>
              <w:rPr>
                <w:rFonts w:ascii="Cambria" w:hAnsi="Cambria"/>
                <w:b/>
                <w:bCs/>
                <w:sz w:val="24"/>
                <w:szCs w:val="24"/>
              </w:rPr>
            </w:pPr>
          </w:p>
          <w:p w14:paraId="02196D90" w14:textId="77777777" w:rsidR="001B256E" w:rsidRPr="00CD2F5C" w:rsidRDefault="001B256E" w:rsidP="002B0F75">
            <w:pPr>
              <w:spacing w:line="360" w:lineRule="auto"/>
              <w:rPr>
                <w:rFonts w:ascii="Cambria" w:hAnsi="Cambria"/>
                <w:b/>
                <w:bCs/>
                <w:sz w:val="24"/>
                <w:szCs w:val="24"/>
              </w:rPr>
            </w:pPr>
          </w:p>
          <w:p w14:paraId="248CD866" w14:textId="77777777" w:rsidR="001B256E" w:rsidRPr="00CD2F5C" w:rsidRDefault="001B256E" w:rsidP="002B0F75">
            <w:pPr>
              <w:spacing w:line="360" w:lineRule="auto"/>
              <w:rPr>
                <w:rFonts w:ascii="Cambria" w:hAnsi="Cambria"/>
                <w:b/>
                <w:bCs/>
                <w:sz w:val="24"/>
                <w:szCs w:val="24"/>
              </w:rPr>
            </w:pPr>
            <w:r w:rsidRPr="00CD2F5C">
              <w:rPr>
                <w:rFonts w:ascii="Cambria" w:hAnsi="Cambria"/>
                <w:b/>
                <w:bCs/>
                <w:sz w:val="24"/>
                <w:szCs w:val="24"/>
              </w:rPr>
              <w:t>Pain measure or condition</w:t>
            </w:r>
          </w:p>
        </w:tc>
        <w:tc>
          <w:tcPr>
            <w:tcW w:w="1890" w:type="dxa"/>
            <w:gridSpan w:val="2"/>
            <w:tcBorders>
              <w:bottom w:val="single" w:sz="4" w:space="0" w:color="auto"/>
            </w:tcBorders>
            <w:shd w:val="clear" w:color="auto" w:fill="E7E6E6" w:themeFill="background2"/>
            <w:vAlign w:val="center"/>
          </w:tcPr>
          <w:p w14:paraId="4A56858B"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Association between ACEs and chronic pain</w:t>
            </w:r>
            <w:r>
              <w:rPr>
                <w:rFonts w:ascii="Cambria" w:hAnsi="Cambria"/>
                <w:b/>
                <w:bCs/>
                <w:sz w:val="24"/>
                <w:szCs w:val="24"/>
              </w:rPr>
              <w:t xml:space="preserve"> </w:t>
            </w:r>
            <w:r w:rsidRPr="00CD2F5C">
              <w:rPr>
                <w:rFonts w:ascii="Cambria" w:hAnsi="Cambria"/>
                <w:b/>
                <w:bCs/>
                <w:sz w:val="24"/>
                <w:szCs w:val="24"/>
              </w:rPr>
              <w:t>(weak, moderate, strong)</w:t>
            </w:r>
          </w:p>
        </w:tc>
        <w:tc>
          <w:tcPr>
            <w:tcW w:w="1895" w:type="dxa"/>
            <w:tcBorders>
              <w:bottom w:val="single" w:sz="4" w:space="0" w:color="auto"/>
            </w:tcBorders>
            <w:shd w:val="clear" w:color="auto" w:fill="E7E6E6" w:themeFill="background2"/>
            <w:vAlign w:val="center"/>
          </w:tcPr>
          <w:p w14:paraId="744DF0B9" w14:textId="77777777" w:rsidR="001B256E" w:rsidRPr="00CD2F5C" w:rsidRDefault="001B256E" w:rsidP="002B0F75">
            <w:pPr>
              <w:tabs>
                <w:tab w:val="left" w:pos="1710"/>
              </w:tabs>
              <w:spacing w:line="360" w:lineRule="auto"/>
              <w:rPr>
                <w:rFonts w:ascii="Cambria" w:hAnsi="Cambria" w:cstheme="minorHAnsi"/>
                <w:b/>
                <w:bCs/>
                <w:sz w:val="24"/>
                <w:szCs w:val="24"/>
              </w:rPr>
            </w:pPr>
            <w:r w:rsidRPr="00CD2F5C">
              <w:rPr>
                <w:rFonts w:ascii="Cambria" w:hAnsi="Cambria" w:cstheme="minorHAnsi"/>
                <w:b/>
                <w:bCs/>
                <w:sz w:val="24"/>
                <w:szCs w:val="24"/>
              </w:rPr>
              <w:t>Association between anxiety and chronic pain</w:t>
            </w:r>
          </w:p>
          <w:p w14:paraId="6D18D121" w14:textId="77777777" w:rsidR="001B256E" w:rsidRPr="00CD2F5C" w:rsidRDefault="001B256E" w:rsidP="002B0F75">
            <w:pPr>
              <w:tabs>
                <w:tab w:val="left" w:pos="1710"/>
              </w:tabs>
              <w:spacing w:line="360" w:lineRule="auto"/>
              <w:rPr>
                <w:rFonts w:ascii="Cambria" w:hAnsi="Cambria" w:cstheme="minorHAnsi"/>
                <w:b/>
                <w:bCs/>
                <w:sz w:val="24"/>
                <w:szCs w:val="24"/>
              </w:rPr>
            </w:pPr>
            <w:r w:rsidRPr="00CD2F5C">
              <w:rPr>
                <w:rFonts w:ascii="Cambria" w:hAnsi="Cambria" w:cstheme="minorHAnsi"/>
                <w:b/>
                <w:bCs/>
                <w:sz w:val="24"/>
                <w:szCs w:val="24"/>
              </w:rPr>
              <w:t>(weak, moderate, strong)</w:t>
            </w:r>
          </w:p>
        </w:tc>
      </w:tr>
      <w:tr w:rsidR="001B256E" w:rsidRPr="00CD2F5C" w14:paraId="57F57612" w14:textId="77777777" w:rsidTr="002B0F75">
        <w:trPr>
          <w:trHeight w:val="528"/>
        </w:trPr>
        <w:tc>
          <w:tcPr>
            <w:tcW w:w="1525" w:type="dxa"/>
            <w:tcBorders>
              <w:bottom w:val="nil"/>
            </w:tcBorders>
            <w:shd w:val="clear" w:color="auto" w:fill="auto"/>
          </w:tcPr>
          <w:p w14:paraId="03F230B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Alhalal</w:t>
            </w:r>
            <w:proofErr w:type="spellEnd"/>
            <w:r w:rsidRPr="00CD2F5C">
              <w:rPr>
                <w:rFonts w:ascii="Cambria" w:hAnsi="Cambria" w:cstheme="minorHAnsi"/>
                <w:sz w:val="24"/>
                <w:szCs w:val="24"/>
              </w:rPr>
              <w:t xml:space="preserve"> et al. 2018</w:t>
            </w:r>
          </w:p>
        </w:tc>
        <w:tc>
          <w:tcPr>
            <w:tcW w:w="810" w:type="dxa"/>
            <w:tcBorders>
              <w:bottom w:val="nil"/>
            </w:tcBorders>
            <w:shd w:val="clear" w:color="auto" w:fill="auto"/>
          </w:tcPr>
          <w:p w14:paraId="7D429AC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2015</w:t>
            </w:r>
          </w:p>
        </w:tc>
        <w:tc>
          <w:tcPr>
            <w:tcW w:w="1800" w:type="dxa"/>
            <w:tcBorders>
              <w:bottom w:val="nil"/>
            </w:tcBorders>
            <w:shd w:val="clear" w:color="auto" w:fill="auto"/>
          </w:tcPr>
          <w:p w14:paraId="7F3922D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Arabic version CTQ, CPG</w:t>
            </w:r>
          </w:p>
        </w:tc>
        <w:tc>
          <w:tcPr>
            <w:tcW w:w="1170" w:type="dxa"/>
            <w:tcBorders>
              <w:bottom w:val="nil"/>
            </w:tcBorders>
            <w:shd w:val="clear" w:color="auto" w:fill="auto"/>
          </w:tcPr>
          <w:p w14:paraId="4DFA0B2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41</w:t>
            </w:r>
          </w:p>
        </w:tc>
        <w:tc>
          <w:tcPr>
            <w:tcW w:w="2610" w:type="dxa"/>
            <w:tcBorders>
              <w:bottom w:val="nil"/>
            </w:tcBorders>
            <w:shd w:val="clear" w:color="auto" w:fill="auto"/>
          </w:tcPr>
          <w:p w14:paraId="0C8A1BC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abuse: 9.18, physical abuse: 7.48, sexual abuse: 6.85</w:t>
            </w:r>
          </w:p>
        </w:tc>
        <w:tc>
          <w:tcPr>
            <w:tcW w:w="2070" w:type="dxa"/>
            <w:gridSpan w:val="2"/>
            <w:tcBorders>
              <w:bottom w:val="nil"/>
            </w:tcBorders>
          </w:tcPr>
          <w:p w14:paraId="29576D0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severity</w:t>
            </w:r>
          </w:p>
        </w:tc>
        <w:tc>
          <w:tcPr>
            <w:tcW w:w="1800" w:type="dxa"/>
            <w:tcBorders>
              <w:bottom w:val="nil"/>
            </w:tcBorders>
            <w:shd w:val="clear" w:color="auto" w:fill="auto"/>
          </w:tcPr>
          <w:p w14:paraId="19FE0B3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bottom w:val="nil"/>
            </w:tcBorders>
            <w:shd w:val="clear" w:color="auto" w:fill="auto"/>
          </w:tcPr>
          <w:p w14:paraId="42022CB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r>
      <w:tr w:rsidR="001B256E" w:rsidRPr="00CD2F5C" w14:paraId="67FA235B" w14:textId="77777777" w:rsidTr="002B0F75">
        <w:trPr>
          <w:trHeight w:val="619"/>
        </w:trPr>
        <w:tc>
          <w:tcPr>
            <w:tcW w:w="1525" w:type="dxa"/>
            <w:tcBorders>
              <w:top w:val="nil"/>
              <w:bottom w:val="nil"/>
            </w:tcBorders>
            <w:shd w:val="clear" w:color="auto" w:fill="auto"/>
          </w:tcPr>
          <w:p w14:paraId="4962AE3A"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Bayram et al. 2014</w:t>
            </w:r>
          </w:p>
        </w:tc>
        <w:tc>
          <w:tcPr>
            <w:tcW w:w="810" w:type="dxa"/>
            <w:tcBorders>
              <w:top w:val="nil"/>
              <w:bottom w:val="nil"/>
            </w:tcBorders>
            <w:shd w:val="clear" w:color="auto" w:fill="auto"/>
          </w:tcPr>
          <w:p w14:paraId="69C2BDC3" w14:textId="77777777" w:rsidR="001B256E" w:rsidRPr="00CD2F5C" w:rsidRDefault="001B256E" w:rsidP="002B0F75">
            <w:pPr>
              <w:tabs>
                <w:tab w:val="left" w:pos="1710"/>
              </w:tabs>
              <w:spacing w:line="360" w:lineRule="auto"/>
              <w:rPr>
                <w:rFonts w:ascii="Cambria" w:hAnsi="Cambria" w:cstheme="minorHAnsi"/>
                <w:sz w:val="24"/>
                <w:szCs w:val="24"/>
              </w:rPr>
            </w:pPr>
          </w:p>
        </w:tc>
        <w:tc>
          <w:tcPr>
            <w:tcW w:w="1800" w:type="dxa"/>
            <w:tcBorders>
              <w:top w:val="nil"/>
              <w:bottom w:val="nil"/>
            </w:tcBorders>
            <w:shd w:val="clear" w:color="auto" w:fill="auto"/>
          </w:tcPr>
          <w:p w14:paraId="6EF6C1B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HAD, NPS)</w:t>
            </w:r>
          </w:p>
        </w:tc>
        <w:tc>
          <w:tcPr>
            <w:tcW w:w="1170" w:type="dxa"/>
            <w:tcBorders>
              <w:top w:val="nil"/>
              <w:bottom w:val="nil"/>
            </w:tcBorders>
            <w:shd w:val="clear" w:color="auto" w:fill="auto"/>
          </w:tcPr>
          <w:p w14:paraId="0B73A96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39.1</w:t>
            </w:r>
          </w:p>
        </w:tc>
        <w:tc>
          <w:tcPr>
            <w:tcW w:w="2610" w:type="dxa"/>
            <w:tcBorders>
              <w:top w:val="nil"/>
              <w:bottom w:val="nil"/>
            </w:tcBorders>
            <w:shd w:val="clear" w:color="auto" w:fill="auto"/>
          </w:tcPr>
          <w:p w14:paraId="6F36DFB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abuse: 40.4, sexual abuse: 5.3, physical abuse: 26.2</w:t>
            </w:r>
          </w:p>
        </w:tc>
        <w:tc>
          <w:tcPr>
            <w:tcW w:w="2070" w:type="dxa"/>
            <w:gridSpan w:val="2"/>
            <w:tcBorders>
              <w:top w:val="nil"/>
              <w:bottom w:val="nil"/>
            </w:tcBorders>
          </w:tcPr>
          <w:p w14:paraId="2731164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Fibromyalgia, rheumatoid arthritis</w:t>
            </w:r>
          </w:p>
        </w:tc>
        <w:tc>
          <w:tcPr>
            <w:tcW w:w="1800" w:type="dxa"/>
            <w:tcBorders>
              <w:top w:val="nil"/>
              <w:bottom w:val="nil"/>
            </w:tcBorders>
            <w:shd w:val="clear" w:color="auto" w:fill="auto"/>
          </w:tcPr>
          <w:p w14:paraId="213118A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738CB87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7AFF9736" w14:textId="77777777" w:rsidTr="002B0F75">
        <w:trPr>
          <w:trHeight w:val="183"/>
        </w:trPr>
        <w:tc>
          <w:tcPr>
            <w:tcW w:w="1525" w:type="dxa"/>
            <w:tcBorders>
              <w:top w:val="nil"/>
              <w:bottom w:val="nil"/>
            </w:tcBorders>
            <w:shd w:val="clear" w:color="auto" w:fill="auto"/>
          </w:tcPr>
          <w:p w14:paraId="5C0CDED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Brennenstuhl &amp; Fuller-Thomson 2015</w:t>
            </w:r>
          </w:p>
        </w:tc>
        <w:tc>
          <w:tcPr>
            <w:tcW w:w="810" w:type="dxa"/>
            <w:tcBorders>
              <w:top w:val="nil"/>
              <w:bottom w:val="nil"/>
            </w:tcBorders>
            <w:shd w:val="clear" w:color="auto" w:fill="auto"/>
          </w:tcPr>
          <w:p w14:paraId="74CDA15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2012</w:t>
            </w:r>
          </w:p>
        </w:tc>
        <w:tc>
          <w:tcPr>
            <w:tcW w:w="1800" w:type="dxa"/>
            <w:tcBorders>
              <w:top w:val="nil"/>
              <w:bottom w:val="nil"/>
            </w:tcBorders>
            <w:shd w:val="clear" w:color="auto" w:fill="auto"/>
          </w:tcPr>
          <w:p w14:paraId="0FB277A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CSA</w:t>
            </w:r>
          </w:p>
        </w:tc>
        <w:tc>
          <w:tcPr>
            <w:tcW w:w="1170" w:type="dxa"/>
            <w:tcBorders>
              <w:top w:val="nil"/>
              <w:bottom w:val="nil"/>
            </w:tcBorders>
            <w:shd w:val="clear" w:color="auto" w:fill="auto"/>
          </w:tcPr>
          <w:p w14:paraId="4CA4B8E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46.95</w:t>
            </w:r>
          </w:p>
        </w:tc>
        <w:tc>
          <w:tcPr>
            <w:tcW w:w="2610" w:type="dxa"/>
            <w:tcBorders>
              <w:top w:val="nil"/>
              <w:bottom w:val="nil"/>
            </w:tcBorders>
            <w:shd w:val="clear" w:color="auto" w:fill="auto"/>
          </w:tcPr>
          <w:p w14:paraId="6656461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Parental domestic violence: 15.7, physical abuse:52.3, sexual abuse (touching only): 8.4, sexual abuse </w:t>
            </w:r>
            <w:r w:rsidRPr="00CD2F5C">
              <w:rPr>
                <w:rFonts w:ascii="Cambria" w:hAnsi="Cambria" w:cstheme="minorHAnsi"/>
                <w:sz w:val="24"/>
                <w:szCs w:val="24"/>
              </w:rPr>
              <w:lastRenderedPageBreak/>
              <w:t>(forced sexual activity): 11.7</w:t>
            </w:r>
          </w:p>
        </w:tc>
        <w:tc>
          <w:tcPr>
            <w:tcW w:w="2070" w:type="dxa"/>
            <w:gridSpan w:val="2"/>
            <w:tcBorders>
              <w:top w:val="nil"/>
              <w:bottom w:val="nil"/>
            </w:tcBorders>
          </w:tcPr>
          <w:p w14:paraId="16CBC7D6"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lastRenderedPageBreak/>
              <w:t>Migraine</w:t>
            </w:r>
          </w:p>
        </w:tc>
        <w:tc>
          <w:tcPr>
            <w:tcW w:w="1800" w:type="dxa"/>
            <w:tcBorders>
              <w:top w:val="nil"/>
              <w:bottom w:val="nil"/>
            </w:tcBorders>
            <w:shd w:val="clear" w:color="auto" w:fill="auto"/>
          </w:tcPr>
          <w:p w14:paraId="22BE0A4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6F9DF03B"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59841FD8" w14:textId="77777777" w:rsidTr="002B0F75">
        <w:trPr>
          <w:trHeight w:val="183"/>
        </w:trPr>
        <w:tc>
          <w:tcPr>
            <w:tcW w:w="1525" w:type="dxa"/>
            <w:tcBorders>
              <w:top w:val="nil"/>
              <w:bottom w:val="nil"/>
            </w:tcBorders>
            <w:shd w:val="clear" w:color="auto" w:fill="auto"/>
          </w:tcPr>
          <w:p w14:paraId="7A2A8CD2"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Brown et al. 2018</w:t>
            </w:r>
          </w:p>
        </w:tc>
        <w:tc>
          <w:tcPr>
            <w:tcW w:w="810" w:type="dxa"/>
            <w:tcBorders>
              <w:top w:val="nil"/>
              <w:bottom w:val="nil"/>
            </w:tcBorders>
            <w:shd w:val="clear" w:color="auto" w:fill="auto"/>
          </w:tcPr>
          <w:p w14:paraId="4D695E0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Sep 2016-Nov 2016</w:t>
            </w:r>
          </w:p>
        </w:tc>
        <w:tc>
          <w:tcPr>
            <w:tcW w:w="1800" w:type="dxa"/>
            <w:tcBorders>
              <w:top w:val="nil"/>
              <w:bottom w:val="nil"/>
            </w:tcBorders>
            <w:shd w:val="clear" w:color="auto" w:fill="auto"/>
          </w:tcPr>
          <w:p w14:paraId="5E48472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POLO, GADS</w:t>
            </w:r>
          </w:p>
        </w:tc>
        <w:tc>
          <w:tcPr>
            <w:tcW w:w="1170" w:type="dxa"/>
            <w:tcBorders>
              <w:top w:val="nil"/>
              <w:bottom w:val="nil"/>
            </w:tcBorders>
            <w:shd w:val="clear" w:color="auto" w:fill="auto"/>
          </w:tcPr>
          <w:p w14:paraId="15DF31A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48.3</w:t>
            </w:r>
          </w:p>
        </w:tc>
        <w:tc>
          <w:tcPr>
            <w:tcW w:w="2610" w:type="dxa"/>
            <w:tcBorders>
              <w:top w:val="nil"/>
              <w:bottom w:val="nil"/>
            </w:tcBorders>
            <w:shd w:val="clear" w:color="auto" w:fill="auto"/>
          </w:tcPr>
          <w:p w14:paraId="2E80EF9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neglect:22.4, emotional neglect: 13.1, Bullying at school: 10.8, multiple maltreatment: 31.2</w:t>
            </w:r>
          </w:p>
        </w:tc>
        <w:tc>
          <w:tcPr>
            <w:tcW w:w="2070" w:type="dxa"/>
            <w:gridSpan w:val="2"/>
            <w:tcBorders>
              <w:top w:val="nil"/>
              <w:bottom w:val="nil"/>
            </w:tcBorders>
          </w:tcPr>
          <w:p w14:paraId="237473D6"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Levels of pain</w:t>
            </w:r>
          </w:p>
        </w:tc>
        <w:tc>
          <w:tcPr>
            <w:tcW w:w="1800" w:type="dxa"/>
            <w:tcBorders>
              <w:top w:val="nil"/>
              <w:bottom w:val="nil"/>
            </w:tcBorders>
            <w:shd w:val="clear" w:color="auto" w:fill="auto"/>
          </w:tcPr>
          <w:p w14:paraId="458C958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D5081F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r>
      <w:tr w:rsidR="001B256E" w:rsidRPr="00CD2F5C" w14:paraId="332C1331" w14:textId="77777777" w:rsidTr="002B0F75">
        <w:trPr>
          <w:trHeight w:val="331"/>
        </w:trPr>
        <w:tc>
          <w:tcPr>
            <w:tcW w:w="1525" w:type="dxa"/>
            <w:tcBorders>
              <w:top w:val="nil"/>
              <w:bottom w:val="nil"/>
            </w:tcBorders>
            <w:shd w:val="clear" w:color="auto" w:fill="auto"/>
          </w:tcPr>
          <w:p w14:paraId="4A9691D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Coles et al. 2015</w:t>
            </w:r>
          </w:p>
        </w:tc>
        <w:tc>
          <w:tcPr>
            <w:tcW w:w="810" w:type="dxa"/>
            <w:tcBorders>
              <w:top w:val="nil"/>
              <w:bottom w:val="nil"/>
            </w:tcBorders>
            <w:shd w:val="clear" w:color="auto" w:fill="auto"/>
          </w:tcPr>
          <w:p w14:paraId="0D65A22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1996</w:t>
            </w:r>
          </w:p>
        </w:tc>
        <w:tc>
          <w:tcPr>
            <w:tcW w:w="1800" w:type="dxa"/>
            <w:tcBorders>
              <w:top w:val="nil"/>
              <w:bottom w:val="nil"/>
            </w:tcBorders>
            <w:shd w:val="clear" w:color="auto" w:fill="auto"/>
          </w:tcPr>
          <w:p w14:paraId="0F0B4D4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SF-36</w:t>
            </w:r>
          </w:p>
        </w:tc>
        <w:tc>
          <w:tcPr>
            <w:tcW w:w="1170" w:type="dxa"/>
            <w:tcBorders>
              <w:top w:val="nil"/>
              <w:bottom w:val="nil"/>
            </w:tcBorders>
            <w:shd w:val="clear" w:color="auto" w:fill="auto"/>
          </w:tcPr>
          <w:p w14:paraId="3F9F4CD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30.6</w:t>
            </w:r>
          </w:p>
        </w:tc>
        <w:tc>
          <w:tcPr>
            <w:tcW w:w="2610" w:type="dxa"/>
            <w:tcBorders>
              <w:top w:val="nil"/>
              <w:bottom w:val="nil"/>
            </w:tcBorders>
            <w:shd w:val="clear" w:color="auto" w:fill="auto"/>
          </w:tcPr>
          <w:p w14:paraId="5D54B87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CSA</w:t>
            </w:r>
          </w:p>
        </w:tc>
        <w:tc>
          <w:tcPr>
            <w:tcW w:w="2070" w:type="dxa"/>
            <w:gridSpan w:val="2"/>
            <w:tcBorders>
              <w:top w:val="nil"/>
              <w:bottom w:val="nil"/>
            </w:tcBorders>
          </w:tcPr>
          <w:p w14:paraId="1635829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Bodily pain</w:t>
            </w:r>
          </w:p>
        </w:tc>
        <w:tc>
          <w:tcPr>
            <w:tcW w:w="1800" w:type="dxa"/>
            <w:tcBorders>
              <w:top w:val="nil"/>
              <w:bottom w:val="nil"/>
            </w:tcBorders>
            <w:shd w:val="clear" w:color="auto" w:fill="auto"/>
          </w:tcPr>
          <w:p w14:paraId="1DDF16F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12811292"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7AEA746F" w14:textId="77777777" w:rsidTr="002B0F75">
        <w:trPr>
          <w:trHeight w:val="173"/>
        </w:trPr>
        <w:tc>
          <w:tcPr>
            <w:tcW w:w="1525" w:type="dxa"/>
            <w:tcBorders>
              <w:top w:val="nil"/>
              <w:bottom w:val="nil"/>
            </w:tcBorders>
            <w:shd w:val="clear" w:color="auto" w:fill="auto"/>
          </w:tcPr>
          <w:p w14:paraId="58ED5841"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Corsini-Munt et al. 2017</w:t>
            </w:r>
          </w:p>
        </w:tc>
        <w:tc>
          <w:tcPr>
            <w:tcW w:w="810" w:type="dxa"/>
            <w:tcBorders>
              <w:top w:val="nil"/>
              <w:bottom w:val="nil"/>
            </w:tcBorders>
            <w:shd w:val="clear" w:color="auto" w:fill="auto"/>
          </w:tcPr>
          <w:p w14:paraId="245F8A5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2014-2015</w:t>
            </w:r>
          </w:p>
        </w:tc>
        <w:tc>
          <w:tcPr>
            <w:tcW w:w="1800" w:type="dxa"/>
            <w:tcBorders>
              <w:top w:val="nil"/>
              <w:bottom w:val="nil"/>
            </w:tcBorders>
            <w:shd w:val="clear" w:color="auto" w:fill="auto"/>
          </w:tcPr>
          <w:p w14:paraId="004BAF9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STAI-T</w:t>
            </w:r>
          </w:p>
        </w:tc>
        <w:tc>
          <w:tcPr>
            <w:tcW w:w="1170" w:type="dxa"/>
            <w:tcBorders>
              <w:top w:val="nil"/>
              <w:bottom w:val="nil"/>
            </w:tcBorders>
            <w:shd w:val="clear" w:color="auto" w:fill="auto"/>
          </w:tcPr>
          <w:p w14:paraId="729CB26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27.8</w:t>
            </w:r>
          </w:p>
        </w:tc>
        <w:tc>
          <w:tcPr>
            <w:tcW w:w="2610" w:type="dxa"/>
            <w:tcBorders>
              <w:top w:val="nil"/>
              <w:bottom w:val="nil"/>
            </w:tcBorders>
            <w:shd w:val="clear" w:color="auto" w:fill="auto"/>
          </w:tcPr>
          <w:p w14:paraId="00745B15"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070" w:type="dxa"/>
            <w:gridSpan w:val="2"/>
            <w:tcBorders>
              <w:top w:val="nil"/>
              <w:bottom w:val="nil"/>
            </w:tcBorders>
          </w:tcPr>
          <w:p w14:paraId="0AD6F1B3"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Vestibulodynia</w:t>
            </w:r>
          </w:p>
        </w:tc>
        <w:tc>
          <w:tcPr>
            <w:tcW w:w="1800" w:type="dxa"/>
            <w:tcBorders>
              <w:top w:val="nil"/>
              <w:bottom w:val="nil"/>
            </w:tcBorders>
            <w:shd w:val="clear" w:color="auto" w:fill="auto"/>
          </w:tcPr>
          <w:p w14:paraId="730314E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5846B69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39DF9E1F" w14:textId="77777777" w:rsidTr="002B0F75">
        <w:trPr>
          <w:trHeight w:val="871"/>
        </w:trPr>
        <w:tc>
          <w:tcPr>
            <w:tcW w:w="1525" w:type="dxa"/>
            <w:tcBorders>
              <w:top w:val="nil"/>
              <w:bottom w:val="nil"/>
            </w:tcBorders>
            <w:shd w:val="clear" w:color="auto" w:fill="auto"/>
          </w:tcPr>
          <w:p w14:paraId="79B326FE"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Craner &amp; Lake 2021</w:t>
            </w:r>
          </w:p>
        </w:tc>
        <w:tc>
          <w:tcPr>
            <w:tcW w:w="810" w:type="dxa"/>
            <w:tcBorders>
              <w:top w:val="nil"/>
              <w:bottom w:val="nil"/>
            </w:tcBorders>
            <w:shd w:val="clear" w:color="auto" w:fill="auto"/>
          </w:tcPr>
          <w:p w14:paraId="68EBD3F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Jan 2018-May 2019</w:t>
            </w:r>
          </w:p>
        </w:tc>
        <w:tc>
          <w:tcPr>
            <w:tcW w:w="1800" w:type="dxa"/>
            <w:tcBorders>
              <w:top w:val="nil"/>
              <w:bottom w:val="nil"/>
            </w:tcBorders>
            <w:shd w:val="clear" w:color="auto" w:fill="auto"/>
          </w:tcPr>
          <w:p w14:paraId="3A30522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ACE, PROMIS-Pain, PROMIS-Anxiety, PCS, PSEQ</w:t>
            </w:r>
          </w:p>
        </w:tc>
        <w:tc>
          <w:tcPr>
            <w:tcW w:w="1170" w:type="dxa"/>
            <w:tcBorders>
              <w:top w:val="nil"/>
              <w:bottom w:val="nil"/>
            </w:tcBorders>
            <w:shd w:val="clear" w:color="auto" w:fill="auto"/>
          </w:tcPr>
          <w:p w14:paraId="6ACD43D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49.03</w:t>
            </w:r>
          </w:p>
        </w:tc>
        <w:tc>
          <w:tcPr>
            <w:tcW w:w="2610" w:type="dxa"/>
            <w:tcBorders>
              <w:top w:val="nil"/>
              <w:bottom w:val="nil"/>
            </w:tcBorders>
            <w:shd w:val="clear" w:color="auto" w:fill="auto"/>
          </w:tcPr>
          <w:p w14:paraId="5FB0717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1 ACE: 19.7, 2ACE: 12.6, 3 ACE: 11.9</w:t>
            </w:r>
          </w:p>
        </w:tc>
        <w:tc>
          <w:tcPr>
            <w:tcW w:w="2070" w:type="dxa"/>
            <w:gridSpan w:val="2"/>
            <w:tcBorders>
              <w:top w:val="nil"/>
              <w:bottom w:val="nil"/>
            </w:tcBorders>
          </w:tcPr>
          <w:p w14:paraId="0EFE8EE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fibromyalgia, back pain, headache/migraine</w:t>
            </w:r>
          </w:p>
        </w:tc>
        <w:tc>
          <w:tcPr>
            <w:tcW w:w="1800" w:type="dxa"/>
            <w:tcBorders>
              <w:top w:val="nil"/>
              <w:bottom w:val="nil"/>
            </w:tcBorders>
            <w:shd w:val="clear" w:color="auto" w:fill="auto"/>
          </w:tcPr>
          <w:p w14:paraId="56BDA44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4454795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r>
      <w:tr w:rsidR="001B256E" w:rsidRPr="00CD2F5C" w14:paraId="5678F11E" w14:textId="77777777" w:rsidTr="002B0F75">
        <w:trPr>
          <w:trHeight w:val="173"/>
        </w:trPr>
        <w:tc>
          <w:tcPr>
            <w:tcW w:w="1525" w:type="dxa"/>
            <w:tcBorders>
              <w:top w:val="nil"/>
              <w:bottom w:val="nil"/>
            </w:tcBorders>
            <w:shd w:val="clear" w:color="auto" w:fill="auto"/>
          </w:tcPr>
          <w:p w14:paraId="0B6577C0"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De Roa et al. 2018</w:t>
            </w:r>
          </w:p>
        </w:tc>
        <w:tc>
          <w:tcPr>
            <w:tcW w:w="810" w:type="dxa"/>
            <w:tcBorders>
              <w:top w:val="nil"/>
              <w:bottom w:val="nil"/>
            </w:tcBorders>
            <w:shd w:val="clear" w:color="auto" w:fill="auto"/>
          </w:tcPr>
          <w:p w14:paraId="4EAFBC7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N/a</w:t>
            </w:r>
          </w:p>
        </w:tc>
        <w:tc>
          <w:tcPr>
            <w:tcW w:w="1800" w:type="dxa"/>
            <w:tcBorders>
              <w:top w:val="nil"/>
              <w:bottom w:val="nil"/>
            </w:tcBorders>
            <w:shd w:val="clear" w:color="auto" w:fill="auto"/>
          </w:tcPr>
          <w:p w14:paraId="46DE188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Visual Analog scale, CTQ, Holmes and Rahe Scale, HADS</w:t>
            </w:r>
          </w:p>
        </w:tc>
        <w:tc>
          <w:tcPr>
            <w:tcW w:w="1170" w:type="dxa"/>
            <w:tcBorders>
              <w:top w:val="nil"/>
              <w:bottom w:val="nil"/>
            </w:tcBorders>
            <w:shd w:val="clear" w:color="auto" w:fill="auto"/>
          </w:tcPr>
          <w:p w14:paraId="515F606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N/a</w:t>
            </w:r>
          </w:p>
        </w:tc>
        <w:tc>
          <w:tcPr>
            <w:tcW w:w="2610" w:type="dxa"/>
            <w:tcBorders>
              <w:top w:val="nil"/>
              <w:bottom w:val="nil"/>
            </w:tcBorders>
            <w:shd w:val="clear" w:color="auto" w:fill="auto"/>
          </w:tcPr>
          <w:p w14:paraId="5301870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 56.8, physical neglect: 9.1, emotional abuse: 20.5, physical abuse: 25, sexual abuse 8.8</w:t>
            </w:r>
          </w:p>
        </w:tc>
        <w:tc>
          <w:tcPr>
            <w:tcW w:w="2070" w:type="dxa"/>
            <w:gridSpan w:val="2"/>
            <w:tcBorders>
              <w:top w:val="nil"/>
              <w:bottom w:val="nil"/>
            </w:tcBorders>
          </w:tcPr>
          <w:p w14:paraId="7CA652A3"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Fibromyalgia, migraine</w:t>
            </w:r>
          </w:p>
        </w:tc>
        <w:tc>
          <w:tcPr>
            <w:tcW w:w="1800" w:type="dxa"/>
            <w:tcBorders>
              <w:top w:val="nil"/>
              <w:bottom w:val="nil"/>
            </w:tcBorders>
            <w:shd w:val="clear" w:color="auto" w:fill="auto"/>
          </w:tcPr>
          <w:p w14:paraId="13BD266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5A7752E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39DA2066" w14:textId="77777777" w:rsidTr="002B0F75">
        <w:trPr>
          <w:trHeight w:val="173"/>
        </w:trPr>
        <w:tc>
          <w:tcPr>
            <w:tcW w:w="1525" w:type="dxa"/>
            <w:tcBorders>
              <w:top w:val="nil"/>
              <w:bottom w:val="nil"/>
            </w:tcBorders>
            <w:shd w:val="clear" w:color="auto" w:fill="auto"/>
          </w:tcPr>
          <w:p w14:paraId="50B0CAA9"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lastRenderedPageBreak/>
              <w:t>Dennis et al. 2019</w:t>
            </w:r>
          </w:p>
        </w:tc>
        <w:tc>
          <w:tcPr>
            <w:tcW w:w="810" w:type="dxa"/>
            <w:tcBorders>
              <w:top w:val="nil"/>
              <w:bottom w:val="nil"/>
            </w:tcBorders>
            <w:shd w:val="clear" w:color="auto" w:fill="auto"/>
          </w:tcPr>
          <w:p w14:paraId="295BA14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Aug 2016- March 2018</w:t>
            </w:r>
          </w:p>
        </w:tc>
        <w:tc>
          <w:tcPr>
            <w:tcW w:w="1800" w:type="dxa"/>
            <w:tcBorders>
              <w:top w:val="nil"/>
              <w:bottom w:val="nil"/>
            </w:tcBorders>
            <w:shd w:val="clear" w:color="auto" w:fill="auto"/>
          </w:tcPr>
          <w:p w14:paraId="3B47834D"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The ACE questionnaire, PROMIS, WPI</w:t>
            </w:r>
          </w:p>
        </w:tc>
        <w:tc>
          <w:tcPr>
            <w:tcW w:w="1170" w:type="dxa"/>
            <w:tcBorders>
              <w:top w:val="nil"/>
              <w:bottom w:val="nil"/>
            </w:tcBorders>
            <w:shd w:val="clear" w:color="auto" w:fill="auto"/>
          </w:tcPr>
          <w:p w14:paraId="4184FEA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43.3</w:t>
            </w:r>
          </w:p>
        </w:tc>
        <w:tc>
          <w:tcPr>
            <w:tcW w:w="2610" w:type="dxa"/>
            <w:tcBorders>
              <w:top w:val="nil"/>
              <w:bottom w:val="nil"/>
            </w:tcBorders>
            <w:shd w:val="clear" w:color="auto" w:fill="auto"/>
          </w:tcPr>
          <w:p w14:paraId="262968A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Mental illness: 54, Divorce: 50, emotional abuse: 47.9, emotional neglect: 44.8, household substance abuse: 40.2, sexual abuse: 34.7, physical abuse: 30.1, physical neglect: 16.6%, household member in prison: 8.0%</w:t>
            </w:r>
          </w:p>
        </w:tc>
        <w:tc>
          <w:tcPr>
            <w:tcW w:w="2070" w:type="dxa"/>
            <w:gridSpan w:val="2"/>
            <w:tcBorders>
              <w:top w:val="nil"/>
              <w:bottom w:val="nil"/>
            </w:tcBorders>
          </w:tcPr>
          <w:p w14:paraId="1DA0229D"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tc>
        <w:tc>
          <w:tcPr>
            <w:tcW w:w="1800" w:type="dxa"/>
            <w:tcBorders>
              <w:top w:val="nil"/>
              <w:bottom w:val="nil"/>
            </w:tcBorders>
            <w:shd w:val="clear" w:color="auto" w:fill="auto"/>
          </w:tcPr>
          <w:p w14:paraId="235C9C0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2D9AA5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4974805C" w14:textId="77777777" w:rsidTr="002B0F75">
        <w:trPr>
          <w:trHeight w:val="173"/>
        </w:trPr>
        <w:tc>
          <w:tcPr>
            <w:tcW w:w="1525" w:type="dxa"/>
            <w:tcBorders>
              <w:top w:val="nil"/>
              <w:bottom w:val="nil"/>
            </w:tcBorders>
            <w:shd w:val="clear" w:color="auto" w:fill="auto"/>
          </w:tcPr>
          <w:p w14:paraId="30CACE70"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Fowler et al. 2020</w:t>
            </w:r>
          </w:p>
        </w:tc>
        <w:tc>
          <w:tcPr>
            <w:tcW w:w="810" w:type="dxa"/>
            <w:tcBorders>
              <w:top w:val="nil"/>
              <w:bottom w:val="nil"/>
            </w:tcBorders>
            <w:shd w:val="clear" w:color="auto" w:fill="auto"/>
          </w:tcPr>
          <w:p w14:paraId="6F5E638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2002</w:t>
            </w:r>
          </w:p>
        </w:tc>
        <w:tc>
          <w:tcPr>
            <w:tcW w:w="1800" w:type="dxa"/>
            <w:tcBorders>
              <w:top w:val="nil"/>
              <w:bottom w:val="nil"/>
            </w:tcBorders>
            <w:shd w:val="clear" w:color="auto" w:fill="auto"/>
          </w:tcPr>
          <w:p w14:paraId="131DC8EE"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 xml:space="preserve">ACEs </w:t>
            </w:r>
            <w:proofErr w:type="gramStart"/>
            <w:r w:rsidRPr="00CD2F5C">
              <w:rPr>
                <w:rFonts w:ascii="Cambria" w:hAnsi="Cambria"/>
                <w:sz w:val="24"/>
                <w:szCs w:val="24"/>
              </w:rPr>
              <w:t>scale,  DSM</w:t>
            </w:r>
            <w:proofErr w:type="gramEnd"/>
            <w:r w:rsidRPr="00CD2F5C">
              <w:rPr>
                <w:rFonts w:ascii="Cambria" w:hAnsi="Cambria"/>
                <w:sz w:val="24"/>
                <w:szCs w:val="24"/>
              </w:rPr>
              <w:t>-IV</w:t>
            </w:r>
          </w:p>
        </w:tc>
        <w:tc>
          <w:tcPr>
            <w:tcW w:w="1170" w:type="dxa"/>
            <w:tcBorders>
              <w:top w:val="nil"/>
              <w:bottom w:val="nil"/>
            </w:tcBorders>
            <w:shd w:val="clear" w:color="auto" w:fill="auto"/>
          </w:tcPr>
          <w:p w14:paraId="78B208A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54.5</w:t>
            </w:r>
          </w:p>
        </w:tc>
        <w:tc>
          <w:tcPr>
            <w:tcW w:w="2610" w:type="dxa"/>
            <w:tcBorders>
              <w:top w:val="nil"/>
              <w:bottom w:val="nil"/>
            </w:tcBorders>
            <w:shd w:val="clear" w:color="auto" w:fill="auto"/>
          </w:tcPr>
          <w:p w14:paraId="6102153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Parental death: 15, sexual abuse: 1.5</w:t>
            </w:r>
          </w:p>
        </w:tc>
        <w:tc>
          <w:tcPr>
            <w:tcW w:w="2070" w:type="dxa"/>
            <w:gridSpan w:val="2"/>
            <w:tcBorders>
              <w:top w:val="nil"/>
              <w:bottom w:val="nil"/>
            </w:tcBorders>
          </w:tcPr>
          <w:p w14:paraId="27F44A87"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neck or back pain, arthritis or rheumatism, frequent or severe</w:t>
            </w:r>
          </w:p>
          <w:p w14:paraId="61DBE05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headaches, or any other chronic pain over the last 12 months</w:t>
            </w:r>
          </w:p>
        </w:tc>
        <w:tc>
          <w:tcPr>
            <w:tcW w:w="1800" w:type="dxa"/>
            <w:tcBorders>
              <w:top w:val="nil"/>
              <w:bottom w:val="nil"/>
            </w:tcBorders>
            <w:shd w:val="clear" w:color="auto" w:fill="auto"/>
          </w:tcPr>
          <w:p w14:paraId="4B39D4B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04A1BD3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34580E71" w14:textId="77777777" w:rsidTr="002B0F75">
        <w:trPr>
          <w:trHeight w:val="521"/>
        </w:trPr>
        <w:tc>
          <w:tcPr>
            <w:tcW w:w="1525" w:type="dxa"/>
            <w:tcBorders>
              <w:top w:val="nil"/>
              <w:bottom w:val="nil"/>
            </w:tcBorders>
            <w:shd w:val="clear" w:color="auto" w:fill="auto"/>
          </w:tcPr>
          <w:p w14:paraId="37609124"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lastRenderedPageBreak/>
              <w:t>Fuller-Thomson et al. 2010</w:t>
            </w:r>
          </w:p>
        </w:tc>
        <w:tc>
          <w:tcPr>
            <w:tcW w:w="810" w:type="dxa"/>
            <w:tcBorders>
              <w:top w:val="nil"/>
              <w:bottom w:val="nil"/>
            </w:tcBorders>
            <w:shd w:val="clear" w:color="auto" w:fill="auto"/>
          </w:tcPr>
          <w:p w14:paraId="0EACD16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2005</w:t>
            </w:r>
          </w:p>
        </w:tc>
        <w:tc>
          <w:tcPr>
            <w:tcW w:w="1800" w:type="dxa"/>
            <w:tcBorders>
              <w:top w:val="nil"/>
              <w:bottom w:val="nil"/>
            </w:tcBorders>
            <w:shd w:val="clear" w:color="auto" w:fill="auto"/>
          </w:tcPr>
          <w:p w14:paraId="16E9D5D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CCHS</w:t>
            </w:r>
          </w:p>
        </w:tc>
        <w:tc>
          <w:tcPr>
            <w:tcW w:w="1170" w:type="dxa"/>
            <w:tcBorders>
              <w:top w:val="nil"/>
              <w:bottom w:val="nil"/>
            </w:tcBorders>
            <w:shd w:val="clear" w:color="auto" w:fill="auto"/>
          </w:tcPr>
          <w:p w14:paraId="23BCDA1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w:t>
            </w:r>
          </w:p>
        </w:tc>
        <w:tc>
          <w:tcPr>
            <w:tcW w:w="2610" w:type="dxa"/>
            <w:tcBorders>
              <w:top w:val="nil"/>
              <w:bottom w:val="nil"/>
            </w:tcBorders>
            <w:shd w:val="clear" w:color="auto" w:fill="auto"/>
          </w:tcPr>
          <w:p w14:paraId="1F07876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Parental unemployment: 12.5, divorce: 10.1, parental addiction: 11.5</w:t>
            </w:r>
          </w:p>
        </w:tc>
        <w:tc>
          <w:tcPr>
            <w:tcW w:w="2070" w:type="dxa"/>
            <w:gridSpan w:val="2"/>
            <w:tcBorders>
              <w:top w:val="nil"/>
              <w:bottom w:val="nil"/>
            </w:tcBorders>
          </w:tcPr>
          <w:p w14:paraId="7EE2A5ED"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Migraine</w:t>
            </w:r>
          </w:p>
        </w:tc>
        <w:tc>
          <w:tcPr>
            <w:tcW w:w="1800" w:type="dxa"/>
            <w:tcBorders>
              <w:top w:val="nil"/>
              <w:bottom w:val="nil"/>
            </w:tcBorders>
            <w:shd w:val="clear" w:color="auto" w:fill="auto"/>
          </w:tcPr>
          <w:p w14:paraId="58046CA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CCA4B84"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4E895881" w14:textId="77777777" w:rsidTr="002B0F75">
        <w:trPr>
          <w:trHeight w:val="173"/>
        </w:trPr>
        <w:tc>
          <w:tcPr>
            <w:tcW w:w="1525" w:type="dxa"/>
            <w:tcBorders>
              <w:top w:val="nil"/>
              <w:bottom w:val="nil"/>
            </w:tcBorders>
            <w:shd w:val="clear" w:color="auto" w:fill="auto"/>
          </w:tcPr>
          <w:p w14:paraId="5916A6C9"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Fuller-Thomson et al. 2015</w:t>
            </w:r>
          </w:p>
        </w:tc>
        <w:tc>
          <w:tcPr>
            <w:tcW w:w="810" w:type="dxa"/>
            <w:tcBorders>
              <w:top w:val="nil"/>
              <w:bottom w:val="nil"/>
            </w:tcBorders>
            <w:shd w:val="clear" w:color="auto" w:fill="auto"/>
          </w:tcPr>
          <w:p w14:paraId="55094E2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2012</w:t>
            </w:r>
          </w:p>
        </w:tc>
        <w:tc>
          <w:tcPr>
            <w:tcW w:w="1800" w:type="dxa"/>
            <w:tcBorders>
              <w:top w:val="nil"/>
              <w:bottom w:val="nil"/>
            </w:tcBorders>
            <w:shd w:val="clear" w:color="auto" w:fill="auto"/>
          </w:tcPr>
          <w:p w14:paraId="61070B0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GAD, CSA</w:t>
            </w:r>
          </w:p>
        </w:tc>
        <w:tc>
          <w:tcPr>
            <w:tcW w:w="1170" w:type="dxa"/>
            <w:tcBorders>
              <w:top w:val="nil"/>
              <w:bottom w:val="nil"/>
            </w:tcBorders>
            <w:shd w:val="clear" w:color="auto" w:fill="auto"/>
          </w:tcPr>
          <w:p w14:paraId="663FBB0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60</w:t>
            </w:r>
          </w:p>
        </w:tc>
        <w:tc>
          <w:tcPr>
            <w:tcW w:w="2610" w:type="dxa"/>
            <w:tcBorders>
              <w:top w:val="nil"/>
              <w:bottom w:val="nil"/>
            </w:tcBorders>
            <w:shd w:val="clear" w:color="auto" w:fill="auto"/>
          </w:tcPr>
          <w:p w14:paraId="35F5E19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070" w:type="dxa"/>
            <w:gridSpan w:val="2"/>
            <w:tcBorders>
              <w:top w:val="nil"/>
              <w:bottom w:val="nil"/>
            </w:tcBorders>
          </w:tcPr>
          <w:p w14:paraId="34DB471A"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inflammatory bowel diseases (IBDs)</w:t>
            </w:r>
          </w:p>
        </w:tc>
        <w:tc>
          <w:tcPr>
            <w:tcW w:w="1800" w:type="dxa"/>
            <w:tcBorders>
              <w:top w:val="nil"/>
              <w:bottom w:val="nil"/>
            </w:tcBorders>
            <w:shd w:val="clear" w:color="auto" w:fill="auto"/>
          </w:tcPr>
          <w:p w14:paraId="5B43789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467682B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717E2672" w14:textId="77777777" w:rsidTr="002B0F75">
        <w:trPr>
          <w:trHeight w:val="628"/>
        </w:trPr>
        <w:tc>
          <w:tcPr>
            <w:tcW w:w="1525" w:type="dxa"/>
            <w:tcBorders>
              <w:top w:val="nil"/>
              <w:bottom w:val="nil"/>
            </w:tcBorders>
            <w:shd w:val="clear" w:color="auto" w:fill="auto"/>
          </w:tcPr>
          <w:p w14:paraId="3E59072C" w14:textId="77777777" w:rsidR="001B256E" w:rsidRPr="00CD2F5C" w:rsidRDefault="001B256E" w:rsidP="002B0F75">
            <w:pPr>
              <w:tabs>
                <w:tab w:val="left" w:pos="1710"/>
              </w:tabs>
              <w:spacing w:line="360" w:lineRule="auto"/>
              <w:rPr>
                <w:rFonts w:ascii="Cambria" w:hAnsi="Cambria"/>
                <w:b/>
                <w:bCs/>
                <w:sz w:val="24"/>
                <w:szCs w:val="24"/>
              </w:rPr>
            </w:pPr>
            <w:proofErr w:type="spellStart"/>
            <w:r w:rsidRPr="00CD2F5C">
              <w:rPr>
                <w:rFonts w:ascii="Cambria" w:hAnsi="Cambria"/>
                <w:b/>
                <w:bCs/>
                <w:sz w:val="24"/>
                <w:szCs w:val="24"/>
              </w:rPr>
              <w:t>Generaal</w:t>
            </w:r>
            <w:proofErr w:type="spellEnd"/>
            <w:r w:rsidRPr="00CD2F5C">
              <w:rPr>
                <w:rFonts w:ascii="Cambria" w:hAnsi="Cambria"/>
                <w:b/>
                <w:bCs/>
                <w:sz w:val="24"/>
                <w:szCs w:val="24"/>
              </w:rPr>
              <w:t xml:space="preserve"> et al. 2016</w:t>
            </w:r>
          </w:p>
        </w:tc>
        <w:tc>
          <w:tcPr>
            <w:tcW w:w="810" w:type="dxa"/>
            <w:tcBorders>
              <w:top w:val="nil"/>
              <w:bottom w:val="nil"/>
            </w:tcBorders>
            <w:shd w:val="clear" w:color="auto" w:fill="auto"/>
          </w:tcPr>
          <w:p w14:paraId="7875083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N/a</w:t>
            </w:r>
          </w:p>
        </w:tc>
        <w:tc>
          <w:tcPr>
            <w:tcW w:w="1800" w:type="dxa"/>
            <w:tcBorders>
              <w:top w:val="nil"/>
              <w:bottom w:val="nil"/>
            </w:tcBorders>
            <w:shd w:val="clear" w:color="auto" w:fill="auto"/>
          </w:tcPr>
          <w:p w14:paraId="3CC8E8A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CPG questionnaire</w:t>
            </w:r>
          </w:p>
        </w:tc>
        <w:tc>
          <w:tcPr>
            <w:tcW w:w="1170" w:type="dxa"/>
            <w:tcBorders>
              <w:top w:val="nil"/>
              <w:bottom w:val="nil"/>
            </w:tcBorders>
            <w:shd w:val="clear" w:color="auto" w:fill="auto"/>
          </w:tcPr>
          <w:p w14:paraId="0292B51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44.7</w:t>
            </w:r>
          </w:p>
        </w:tc>
        <w:tc>
          <w:tcPr>
            <w:tcW w:w="2610" w:type="dxa"/>
            <w:tcBorders>
              <w:top w:val="nil"/>
              <w:bottom w:val="nil"/>
            </w:tcBorders>
            <w:shd w:val="clear" w:color="auto" w:fill="auto"/>
          </w:tcPr>
          <w:p w14:paraId="5139624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Early and recent life stress (100)</w:t>
            </w:r>
          </w:p>
        </w:tc>
        <w:tc>
          <w:tcPr>
            <w:tcW w:w="2070" w:type="dxa"/>
            <w:gridSpan w:val="2"/>
            <w:tcBorders>
              <w:top w:val="nil"/>
              <w:bottom w:val="nil"/>
            </w:tcBorders>
          </w:tcPr>
          <w:p w14:paraId="217C4FD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multi-site musculoskeletal pain</w:t>
            </w:r>
          </w:p>
        </w:tc>
        <w:tc>
          <w:tcPr>
            <w:tcW w:w="1800" w:type="dxa"/>
            <w:tcBorders>
              <w:top w:val="nil"/>
              <w:bottom w:val="nil"/>
            </w:tcBorders>
            <w:shd w:val="clear" w:color="auto" w:fill="auto"/>
          </w:tcPr>
          <w:p w14:paraId="390F698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1F50675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r>
      <w:tr w:rsidR="001B256E" w:rsidRPr="00CD2F5C" w14:paraId="7327A7B9" w14:textId="77777777" w:rsidTr="002B0F75">
        <w:trPr>
          <w:trHeight w:val="173"/>
        </w:trPr>
        <w:tc>
          <w:tcPr>
            <w:tcW w:w="1525" w:type="dxa"/>
            <w:tcBorders>
              <w:top w:val="nil"/>
              <w:bottom w:val="nil"/>
            </w:tcBorders>
            <w:shd w:val="clear" w:color="auto" w:fill="auto"/>
          </w:tcPr>
          <w:p w14:paraId="3920ECF4"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Green et al. 2001</w:t>
            </w:r>
          </w:p>
        </w:tc>
        <w:tc>
          <w:tcPr>
            <w:tcW w:w="810" w:type="dxa"/>
            <w:tcBorders>
              <w:top w:val="nil"/>
              <w:bottom w:val="nil"/>
            </w:tcBorders>
            <w:shd w:val="clear" w:color="auto" w:fill="auto"/>
          </w:tcPr>
          <w:p w14:paraId="3F2F181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March-August 1997</w:t>
            </w:r>
          </w:p>
        </w:tc>
        <w:tc>
          <w:tcPr>
            <w:tcW w:w="1800" w:type="dxa"/>
            <w:tcBorders>
              <w:top w:val="nil"/>
              <w:bottom w:val="nil"/>
            </w:tcBorders>
            <w:shd w:val="clear" w:color="auto" w:fill="auto"/>
          </w:tcPr>
          <w:p w14:paraId="0CBC2731"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Drossman Physical-Sexual Abuse Questionnaire, Hopkins</w:t>
            </w:r>
          </w:p>
        </w:tc>
        <w:tc>
          <w:tcPr>
            <w:tcW w:w="1170" w:type="dxa"/>
            <w:tcBorders>
              <w:top w:val="nil"/>
              <w:bottom w:val="nil"/>
            </w:tcBorders>
            <w:shd w:val="clear" w:color="auto" w:fill="auto"/>
          </w:tcPr>
          <w:p w14:paraId="2938277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46.4</w:t>
            </w:r>
          </w:p>
        </w:tc>
        <w:tc>
          <w:tcPr>
            <w:tcW w:w="2610" w:type="dxa"/>
            <w:tcBorders>
              <w:top w:val="nil"/>
              <w:bottom w:val="nil"/>
            </w:tcBorders>
            <w:shd w:val="clear" w:color="auto" w:fill="auto"/>
          </w:tcPr>
          <w:p w14:paraId="6A4DED1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abuse: 41, sexual abuse: 59, physical and sexual abuse: 41</w:t>
            </w:r>
          </w:p>
        </w:tc>
        <w:tc>
          <w:tcPr>
            <w:tcW w:w="2070" w:type="dxa"/>
            <w:gridSpan w:val="2"/>
            <w:tcBorders>
              <w:top w:val="nil"/>
              <w:bottom w:val="nil"/>
            </w:tcBorders>
          </w:tcPr>
          <w:p w14:paraId="4A8CAF4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Pain (e.g., pelvic, back,</w:t>
            </w:r>
          </w:p>
          <w:p w14:paraId="122CBAD8"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and head pain)</w:t>
            </w:r>
          </w:p>
        </w:tc>
        <w:tc>
          <w:tcPr>
            <w:tcW w:w="1800" w:type="dxa"/>
            <w:tcBorders>
              <w:top w:val="nil"/>
              <w:bottom w:val="nil"/>
            </w:tcBorders>
            <w:shd w:val="clear" w:color="auto" w:fill="auto"/>
          </w:tcPr>
          <w:p w14:paraId="59089C9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A6C994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0D76F33E" w14:textId="77777777" w:rsidTr="002B0F75">
        <w:trPr>
          <w:trHeight w:val="873"/>
        </w:trPr>
        <w:tc>
          <w:tcPr>
            <w:tcW w:w="1525" w:type="dxa"/>
            <w:tcBorders>
              <w:top w:val="nil"/>
              <w:bottom w:val="nil"/>
            </w:tcBorders>
            <w:shd w:val="clear" w:color="auto" w:fill="auto"/>
          </w:tcPr>
          <w:p w14:paraId="08ACCB7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Hart-Johnson &amp; Green, 2012</w:t>
            </w:r>
          </w:p>
        </w:tc>
        <w:tc>
          <w:tcPr>
            <w:tcW w:w="810" w:type="dxa"/>
            <w:tcBorders>
              <w:top w:val="nil"/>
              <w:bottom w:val="nil"/>
            </w:tcBorders>
            <w:shd w:val="clear" w:color="auto" w:fill="auto"/>
          </w:tcPr>
          <w:p w14:paraId="6806134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4C1D96F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DAQ. MPQ, PDI, PCPT, SF-36</w:t>
            </w:r>
          </w:p>
        </w:tc>
        <w:tc>
          <w:tcPr>
            <w:tcW w:w="1170" w:type="dxa"/>
            <w:tcBorders>
              <w:top w:val="nil"/>
              <w:bottom w:val="nil"/>
            </w:tcBorders>
            <w:shd w:val="clear" w:color="auto" w:fill="auto"/>
          </w:tcPr>
          <w:p w14:paraId="2634EF8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34</w:t>
            </w:r>
          </w:p>
        </w:tc>
        <w:tc>
          <w:tcPr>
            <w:tcW w:w="2610" w:type="dxa"/>
            <w:tcBorders>
              <w:top w:val="nil"/>
              <w:bottom w:val="nil"/>
            </w:tcBorders>
            <w:shd w:val="clear" w:color="auto" w:fill="auto"/>
          </w:tcPr>
          <w:p w14:paraId="57D5BC3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or sexual abuse: 67</w:t>
            </w:r>
          </w:p>
        </w:tc>
        <w:tc>
          <w:tcPr>
            <w:tcW w:w="2070" w:type="dxa"/>
            <w:gridSpan w:val="2"/>
            <w:tcBorders>
              <w:top w:val="nil"/>
              <w:bottom w:val="nil"/>
            </w:tcBorders>
          </w:tcPr>
          <w:p w14:paraId="3DA1C62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Four pain subscales: sensory, affective, evaluative, and miscellaneous</w:t>
            </w:r>
          </w:p>
        </w:tc>
        <w:tc>
          <w:tcPr>
            <w:tcW w:w="1800" w:type="dxa"/>
            <w:tcBorders>
              <w:top w:val="nil"/>
              <w:bottom w:val="nil"/>
            </w:tcBorders>
            <w:shd w:val="clear" w:color="auto" w:fill="auto"/>
          </w:tcPr>
          <w:p w14:paraId="023C511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c>
          <w:tcPr>
            <w:tcW w:w="1895" w:type="dxa"/>
            <w:tcBorders>
              <w:top w:val="nil"/>
              <w:bottom w:val="nil"/>
            </w:tcBorders>
            <w:shd w:val="clear" w:color="auto" w:fill="auto"/>
          </w:tcPr>
          <w:p w14:paraId="5EFEACCD"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n.m.</w:t>
            </w:r>
          </w:p>
        </w:tc>
      </w:tr>
      <w:tr w:rsidR="001B256E" w:rsidRPr="00CD2F5C" w14:paraId="5129A10A" w14:textId="77777777" w:rsidTr="002B0F75">
        <w:trPr>
          <w:trHeight w:val="173"/>
        </w:trPr>
        <w:tc>
          <w:tcPr>
            <w:tcW w:w="1525" w:type="dxa"/>
            <w:tcBorders>
              <w:top w:val="nil"/>
              <w:bottom w:val="nil"/>
            </w:tcBorders>
            <w:shd w:val="clear" w:color="auto" w:fill="auto"/>
          </w:tcPr>
          <w:p w14:paraId="616751C7" w14:textId="77777777" w:rsidR="001B256E" w:rsidRPr="00CD2F5C" w:rsidRDefault="001B256E" w:rsidP="002B0F75">
            <w:pPr>
              <w:tabs>
                <w:tab w:val="left" w:pos="1710"/>
              </w:tabs>
              <w:spacing w:line="360" w:lineRule="auto"/>
              <w:rPr>
                <w:rFonts w:ascii="Cambria" w:hAnsi="Cambria"/>
                <w:b/>
                <w:bCs/>
                <w:sz w:val="24"/>
                <w:szCs w:val="24"/>
              </w:rPr>
            </w:pPr>
            <w:proofErr w:type="spellStart"/>
            <w:r w:rsidRPr="00CD2F5C">
              <w:rPr>
                <w:rFonts w:ascii="Cambria" w:hAnsi="Cambria"/>
                <w:b/>
                <w:bCs/>
                <w:sz w:val="24"/>
                <w:szCs w:val="24"/>
              </w:rPr>
              <w:lastRenderedPageBreak/>
              <w:t>Hellou</w:t>
            </w:r>
            <w:proofErr w:type="spellEnd"/>
            <w:r w:rsidRPr="00CD2F5C">
              <w:rPr>
                <w:rFonts w:ascii="Cambria" w:hAnsi="Cambria"/>
                <w:b/>
                <w:bCs/>
                <w:sz w:val="24"/>
                <w:szCs w:val="24"/>
              </w:rPr>
              <w:t xml:space="preserve"> et al. 2017</w:t>
            </w:r>
          </w:p>
        </w:tc>
        <w:tc>
          <w:tcPr>
            <w:tcW w:w="810" w:type="dxa"/>
            <w:tcBorders>
              <w:top w:val="nil"/>
              <w:bottom w:val="nil"/>
            </w:tcBorders>
            <w:shd w:val="clear" w:color="auto" w:fill="auto"/>
          </w:tcPr>
          <w:p w14:paraId="53B92BB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Feb 2013-Sept 2015</w:t>
            </w:r>
          </w:p>
        </w:tc>
        <w:tc>
          <w:tcPr>
            <w:tcW w:w="1800" w:type="dxa"/>
            <w:tcBorders>
              <w:top w:val="nil"/>
              <w:bottom w:val="nil"/>
            </w:tcBorders>
            <w:shd w:val="clear" w:color="auto" w:fill="auto"/>
          </w:tcPr>
          <w:p w14:paraId="01CEDEF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Patient Health Questionnaire-4</w:t>
            </w:r>
          </w:p>
        </w:tc>
        <w:tc>
          <w:tcPr>
            <w:tcW w:w="1170" w:type="dxa"/>
            <w:tcBorders>
              <w:top w:val="nil"/>
              <w:bottom w:val="nil"/>
            </w:tcBorders>
            <w:shd w:val="clear" w:color="auto" w:fill="auto"/>
          </w:tcPr>
          <w:p w14:paraId="784BF77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46.6</w:t>
            </w:r>
          </w:p>
        </w:tc>
        <w:tc>
          <w:tcPr>
            <w:tcW w:w="2610" w:type="dxa"/>
            <w:tcBorders>
              <w:top w:val="nil"/>
              <w:bottom w:val="nil"/>
            </w:tcBorders>
            <w:shd w:val="clear" w:color="auto" w:fill="auto"/>
          </w:tcPr>
          <w:p w14:paraId="1560FB8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abuse: 12, physical abuse: 9.3, sexual abuse: 9.3, emotional neglect: 16, physical neglect: 8</w:t>
            </w:r>
          </w:p>
        </w:tc>
        <w:tc>
          <w:tcPr>
            <w:tcW w:w="2070" w:type="dxa"/>
            <w:gridSpan w:val="2"/>
            <w:tcBorders>
              <w:top w:val="nil"/>
              <w:bottom w:val="nil"/>
            </w:tcBorders>
          </w:tcPr>
          <w:p w14:paraId="449F3C0B"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 xml:space="preserve">Fibromyalgia, rheumatoid arthritis </w:t>
            </w:r>
          </w:p>
        </w:tc>
        <w:tc>
          <w:tcPr>
            <w:tcW w:w="1800" w:type="dxa"/>
            <w:tcBorders>
              <w:top w:val="nil"/>
              <w:bottom w:val="nil"/>
            </w:tcBorders>
            <w:shd w:val="clear" w:color="auto" w:fill="auto"/>
          </w:tcPr>
          <w:p w14:paraId="2BCF5A7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4CCDA93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69409899" w14:textId="77777777" w:rsidTr="002B0F75">
        <w:trPr>
          <w:trHeight w:val="173"/>
        </w:trPr>
        <w:tc>
          <w:tcPr>
            <w:tcW w:w="1525" w:type="dxa"/>
            <w:tcBorders>
              <w:top w:val="nil"/>
              <w:bottom w:val="nil"/>
            </w:tcBorders>
            <w:shd w:val="clear" w:color="auto" w:fill="auto"/>
          </w:tcPr>
          <w:p w14:paraId="30FBFE5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Hughes et al. 2016</w:t>
            </w:r>
          </w:p>
        </w:tc>
        <w:tc>
          <w:tcPr>
            <w:tcW w:w="810" w:type="dxa"/>
            <w:tcBorders>
              <w:top w:val="nil"/>
              <w:bottom w:val="nil"/>
            </w:tcBorders>
            <w:shd w:val="clear" w:color="auto" w:fill="auto"/>
          </w:tcPr>
          <w:p w14:paraId="4E585F5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April-July 2013</w:t>
            </w:r>
          </w:p>
        </w:tc>
        <w:tc>
          <w:tcPr>
            <w:tcW w:w="1800" w:type="dxa"/>
            <w:tcBorders>
              <w:top w:val="nil"/>
              <w:bottom w:val="nil"/>
            </w:tcBorders>
            <w:shd w:val="clear" w:color="auto" w:fill="auto"/>
          </w:tcPr>
          <w:p w14:paraId="2F4F48E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SWEMWBS</w:t>
            </w:r>
          </w:p>
        </w:tc>
        <w:tc>
          <w:tcPr>
            <w:tcW w:w="1170" w:type="dxa"/>
            <w:tcBorders>
              <w:top w:val="nil"/>
              <w:bottom w:val="nil"/>
            </w:tcBorders>
            <w:shd w:val="clear" w:color="auto" w:fill="auto"/>
          </w:tcPr>
          <w:p w14:paraId="0FABAE4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43.5</w:t>
            </w:r>
          </w:p>
        </w:tc>
        <w:tc>
          <w:tcPr>
            <w:tcW w:w="2610" w:type="dxa"/>
            <w:tcBorders>
              <w:top w:val="nil"/>
              <w:bottom w:val="nil"/>
            </w:tcBorders>
            <w:shd w:val="clear" w:color="auto" w:fill="auto"/>
          </w:tcPr>
          <w:p w14:paraId="484927F7"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070" w:type="dxa"/>
            <w:gridSpan w:val="2"/>
            <w:tcBorders>
              <w:top w:val="nil"/>
              <w:bottom w:val="nil"/>
            </w:tcBorders>
          </w:tcPr>
          <w:p w14:paraId="398F1096" w14:textId="77777777" w:rsidR="001B256E" w:rsidRPr="00CD2F5C" w:rsidRDefault="001B256E" w:rsidP="002B0F75">
            <w:pPr>
              <w:tabs>
                <w:tab w:val="left" w:pos="1710"/>
              </w:tabs>
              <w:spacing w:line="360" w:lineRule="auto"/>
              <w:rPr>
                <w:rFonts w:ascii="Cambria" w:hAnsi="Cambria" w:cstheme="minorHAnsi"/>
                <w:sz w:val="24"/>
                <w:szCs w:val="24"/>
              </w:rPr>
            </w:pPr>
          </w:p>
        </w:tc>
        <w:tc>
          <w:tcPr>
            <w:tcW w:w="1800" w:type="dxa"/>
            <w:tcBorders>
              <w:top w:val="nil"/>
              <w:bottom w:val="nil"/>
            </w:tcBorders>
            <w:shd w:val="clear" w:color="auto" w:fill="auto"/>
          </w:tcPr>
          <w:p w14:paraId="407C2CE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c>
          <w:tcPr>
            <w:tcW w:w="1895" w:type="dxa"/>
            <w:tcBorders>
              <w:top w:val="nil"/>
              <w:bottom w:val="nil"/>
            </w:tcBorders>
            <w:shd w:val="clear" w:color="auto" w:fill="auto"/>
          </w:tcPr>
          <w:p w14:paraId="76D253CE"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29C1E7DA" w14:textId="77777777" w:rsidTr="002B0F75">
        <w:trPr>
          <w:trHeight w:val="173"/>
        </w:trPr>
        <w:tc>
          <w:tcPr>
            <w:tcW w:w="1525" w:type="dxa"/>
            <w:tcBorders>
              <w:top w:val="nil"/>
              <w:bottom w:val="nil"/>
            </w:tcBorders>
            <w:shd w:val="clear" w:color="auto" w:fill="auto"/>
          </w:tcPr>
          <w:p w14:paraId="7B07107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Jones et al. 2009</w:t>
            </w:r>
          </w:p>
        </w:tc>
        <w:tc>
          <w:tcPr>
            <w:tcW w:w="810" w:type="dxa"/>
            <w:tcBorders>
              <w:top w:val="nil"/>
              <w:bottom w:val="nil"/>
            </w:tcBorders>
            <w:shd w:val="clear" w:color="auto" w:fill="auto"/>
          </w:tcPr>
          <w:p w14:paraId="590EF31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Mar-56</w:t>
            </w:r>
          </w:p>
        </w:tc>
        <w:tc>
          <w:tcPr>
            <w:tcW w:w="1800" w:type="dxa"/>
            <w:tcBorders>
              <w:top w:val="nil"/>
              <w:bottom w:val="nil"/>
            </w:tcBorders>
            <w:shd w:val="clear" w:color="auto" w:fill="auto"/>
          </w:tcPr>
          <w:p w14:paraId="2D9118DE"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Biomedical survey</w:t>
            </w:r>
          </w:p>
        </w:tc>
        <w:tc>
          <w:tcPr>
            <w:tcW w:w="1170" w:type="dxa"/>
            <w:tcBorders>
              <w:top w:val="nil"/>
              <w:bottom w:val="nil"/>
            </w:tcBorders>
            <w:shd w:val="clear" w:color="auto" w:fill="auto"/>
          </w:tcPr>
          <w:p w14:paraId="3273D01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45</w:t>
            </w:r>
          </w:p>
        </w:tc>
        <w:tc>
          <w:tcPr>
            <w:tcW w:w="2610" w:type="dxa"/>
            <w:tcBorders>
              <w:top w:val="nil"/>
              <w:bottom w:val="nil"/>
            </w:tcBorders>
            <w:shd w:val="clear" w:color="auto" w:fill="auto"/>
          </w:tcPr>
          <w:p w14:paraId="2003F61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Ever in institutional care: 23.3, Death of parent: 36.3, Family difficulties: 17.2</w:t>
            </w:r>
          </w:p>
        </w:tc>
        <w:tc>
          <w:tcPr>
            <w:tcW w:w="2070" w:type="dxa"/>
            <w:gridSpan w:val="2"/>
            <w:tcBorders>
              <w:top w:val="nil"/>
              <w:bottom w:val="nil"/>
            </w:tcBorders>
          </w:tcPr>
          <w:p w14:paraId="53041550"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widespread pain</w:t>
            </w:r>
          </w:p>
        </w:tc>
        <w:tc>
          <w:tcPr>
            <w:tcW w:w="1800" w:type="dxa"/>
            <w:tcBorders>
              <w:top w:val="nil"/>
              <w:bottom w:val="nil"/>
            </w:tcBorders>
            <w:shd w:val="clear" w:color="auto" w:fill="auto"/>
          </w:tcPr>
          <w:p w14:paraId="5EB272C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c>
          <w:tcPr>
            <w:tcW w:w="1895" w:type="dxa"/>
            <w:tcBorders>
              <w:top w:val="nil"/>
              <w:bottom w:val="nil"/>
            </w:tcBorders>
            <w:shd w:val="clear" w:color="auto" w:fill="auto"/>
          </w:tcPr>
          <w:p w14:paraId="7EEB336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6201EB14" w14:textId="77777777" w:rsidTr="002B0F75">
        <w:trPr>
          <w:trHeight w:val="173"/>
        </w:trPr>
        <w:tc>
          <w:tcPr>
            <w:tcW w:w="1525" w:type="dxa"/>
            <w:tcBorders>
              <w:top w:val="nil"/>
              <w:bottom w:val="nil"/>
            </w:tcBorders>
            <w:shd w:val="clear" w:color="auto" w:fill="auto"/>
          </w:tcPr>
          <w:p w14:paraId="6475BD66"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Kamiya et al. 2016</w:t>
            </w:r>
          </w:p>
        </w:tc>
        <w:tc>
          <w:tcPr>
            <w:tcW w:w="810" w:type="dxa"/>
            <w:tcBorders>
              <w:top w:val="nil"/>
              <w:bottom w:val="nil"/>
            </w:tcBorders>
            <w:shd w:val="clear" w:color="auto" w:fill="auto"/>
          </w:tcPr>
          <w:p w14:paraId="13EFCE1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Late 2009 and mid-2011</w:t>
            </w:r>
          </w:p>
        </w:tc>
        <w:tc>
          <w:tcPr>
            <w:tcW w:w="1800" w:type="dxa"/>
            <w:tcBorders>
              <w:top w:val="nil"/>
              <w:bottom w:val="nil"/>
            </w:tcBorders>
            <w:shd w:val="clear" w:color="auto" w:fill="auto"/>
          </w:tcPr>
          <w:p w14:paraId="71C13E1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HADS-A, SCQ</w:t>
            </w:r>
          </w:p>
        </w:tc>
        <w:tc>
          <w:tcPr>
            <w:tcW w:w="1170" w:type="dxa"/>
            <w:tcBorders>
              <w:top w:val="nil"/>
              <w:bottom w:val="nil"/>
            </w:tcBorders>
            <w:shd w:val="clear" w:color="auto" w:fill="auto"/>
          </w:tcPr>
          <w:p w14:paraId="1D78B38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60.4</w:t>
            </w:r>
          </w:p>
        </w:tc>
        <w:tc>
          <w:tcPr>
            <w:tcW w:w="2610" w:type="dxa"/>
            <w:tcBorders>
              <w:top w:val="nil"/>
              <w:bottom w:val="nil"/>
            </w:tcBorders>
            <w:shd w:val="clear" w:color="auto" w:fill="auto"/>
          </w:tcPr>
          <w:p w14:paraId="3A8B351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Parental experienced drug and drink: 22, Physical abuse parent: 17.5, physical abuse other than parent: 40</w:t>
            </w:r>
          </w:p>
        </w:tc>
        <w:tc>
          <w:tcPr>
            <w:tcW w:w="2070" w:type="dxa"/>
            <w:gridSpan w:val="2"/>
            <w:tcBorders>
              <w:top w:val="nil"/>
              <w:bottom w:val="nil"/>
            </w:tcBorders>
          </w:tcPr>
          <w:p w14:paraId="09810D1A"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tc>
        <w:tc>
          <w:tcPr>
            <w:tcW w:w="1800" w:type="dxa"/>
            <w:tcBorders>
              <w:top w:val="nil"/>
              <w:bottom w:val="nil"/>
            </w:tcBorders>
            <w:shd w:val="clear" w:color="auto" w:fill="auto"/>
          </w:tcPr>
          <w:p w14:paraId="36E04C1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55D3667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r>
      <w:tr w:rsidR="001B256E" w:rsidRPr="00CD2F5C" w14:paraId="4FC36833" w14:textId="77777777" w:rsidTr="002B0F75">
        <w:trPr>
          <w:trHeight w:val="1449"/>
        </w:trPr>
        <w:tc>
          <w:tcPr>
            <w:tcW w:w="1525" w:type="dxa"/>
            <w:tcBorders>
              <w:top w:val="nil"/>
              <w:bottom w:val="nil"/>
            </w:tcBorders>
            <w:shd w:val="clear" w:color="auto" w:fill="auto"/>
          </w:tcPr>
          <w:p w14:paraId="3CD2C565" w14:textId="77777777" w:rsidR="001B256E" w:rsidRPr="00CD2F5C" w:rsidRDefault="001B256E" w:rsidP="002B0F75">
            <w:pPr>
              <w:tabs>
                <w:tab w:val="left" w:pos="1710"/>
              </w:tabs>
              <w:spacing w:line="360" w:lineRule="auto"/>
              <w:rPr>
                <w:rFonts w:ascii="Cambria" w:hAnsi="Cambria"/>
                <w:b/>
                <w:bCs/>
                <w:sz w:val="24"/>
                <w:szCs w:val="24"/>
              </w:rPr>
            </w:pPr>
            <w:proofErr w:type="spellStart"/>
            <w:r w:rsidRPr="00CD2F5C">
              <w:rPr>
                <w:rFonts w:ascii="Cambria" w:hAnsi="Cambria"/>
                <w:b/>
                <w:bCs/>
                <w:sz w:val="24"/>
                <w:szCs w:val="24"/>
              </w:rPr>
              <w:t>Kascakova</w:t>
            </w:r>
            <w:proofErr w:type="spellEnd"/>
            <w:r w:rsidRPr="00CD2F5C">
              <w:rPr>
                <w:rFonts w:ascii="Cambria" w:hAnsi="Cambria"/>
                <w:b/>
                <w:bCs/>
                <w:sz w:val="24"/>
                <w:szCs w:val="24"/>
              </w:rPr>
              <w:t xml:space="preserve"> et al. 2020</w:t>
            </w:r>
          </w:p>
        </w:tc>
        <w:tc>
          <w:tcPr>
            <w:tcW w:w="810" w:type="dxa"/>
            <w:tcBorders>
              <w:top w:val="nil"/>
              <w:bottom w:val="nil"/>
            </w:tcBorders>
            <w:shd w:val="clear" w:color="auto" w:fill="auto"/>
          </w:tcPr>
          <w:p w14:paraId="7CEB859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2016</w:t>
            </w:r>
          </w:p>
        </w:tc>
        <w:tc>
          <w:tcPr>
            <w:tcW w:w="1800" w:type="dxa"/>
            <w:tcBorders>
              <w:top w:val="nil"/>
              <w:bottom w:val="nil"/>
            </w:tcBorders>
            <w:shd w:val="clear" w:color="auto" w:fill="auto"/>
          </w:tcPr>
          <w:p w14:paraId="7270B9C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w:t>
            </w:r>
          </w:p>
        </w:tc>
        <w:tc>
          <w:tcPr>
            <w:tcW w:w="1170" w:type="dxa"/>
            <w:tcBorders>
              <w:top w:val="nil"/>
              <w:bottom w:val="nil"/>
            </w:tcBorders>
            <w:shd w:val="clear" w:color="auto" w:fill="auto"/>
          </w:tcPr>
          <w:p w14:paraId="69943C3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46.61</w:t>
            </w:r>
          </w:p>
        </w:tc>
        <w:tc>
          <w:tcPr>
            <w:tcW w:w="2610" w:type="dxa"/>
            <w:tcBorders>
              <w:top w:val="nil"/>
              <w:bottom w:val="nil"/>
            </w:tcBorders>
            <w:shd w:val="clear" w:color="auto" w:fill="auto"/>
          </w:tcPr>
          <w:p w14:paraId="76D809D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abuse:23.1, physical: 7.7, sexual: 9.9, emotional neglect: 33, physical neglect: 54.9</w:t>
            </w:r>
          </w:p>
        </w:tc>
        <w:tc>
          <w:tcPr>
            <w:tcW w:w="2070" w:type="dxa"/>
            <w:gridSpan w:val="2"/>
            <w:tcBorders>
              <w:top w:val="nil"/>
              <w:bottom w:val="nil"/>
            </w:tcBorders>
          </w:tcPr>
          <w:p w14:paraId="58FE457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pain-related condition (migraine, back pain, arthritis, pelvic</w:t>
            </w:r>
          </w:p>
          <w:p w14:paraId="2DBC91D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lastRenderedPageBreak/>
              <w:t>pain, or pain of unclear origin)</w:t>
            </w:r>
          </w:p>
        </w:tc>
        <w:tc>
          <w:tcPr>
            <w:tcW w:w="1800" w:type="dxa"/>
            <w:tcBorders>
              <w:top w:val="nil"/>
              <w:bottom w:val="nil"/>
            </w:tcBorders>
            <w:shd w:val="clear" w:color="auto" w:fill="auto"/>
          </w:tcPr>
          <w:p w14:paraId="3634DA1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lastRenderedPageBreak/>
              <w:t>Strong</w:t>
            </w:r>
          </w:p>
        </w:tc>
        <w:tc>
          <w:tcPr>
            <w:tcW w:w="1895" w:type="dxa"/>
            <w:tcBorders>
              <w:top w:val="nil"/>
              <w:bottom w:val="nil"/>
            </w:tcBorders>
            <w:shd w:val="clear" w:color="auto" w:fill="auto"/>
          </w:tcPr>
          <w:p w14:paraId="249FD2D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7E7ABFFC" w14:textId="77777777" w:rsidTr="002B0F75">
        <w:trPr>
          <w:trHeight w:val="173"/>
        </w:trPr>
        <w:tc>
          <w:tcPr>
            <w:tcW w:w="1525" w:type="dxa"/>
            <w:tcBorders>
              <w:top w:val="nil"/>
              <w:bottom w:val="nil"/>
            </w:tcBorders>
            <w:shd w:val="clear" w:color="auto" w:fill="auto"/>
          </w:tcPr>
          <w:p w14:paraId="3B56F49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Kelly et al. 2011</w:t>
            </w:r>
          </w:p>
        </w:tc>
        <w:tc>
          <w:tcPr>
            <w:tcW w:w="810" w:type="dxa"/>
            <w:tcBorders>
              <w:top w:val="nil"/>
              <w:bottom w:val="nil"/>
            </w:tcBorders>
            <w:shd w:val="clear" w:color="auto" w:fill="auto"/>
          </w:tcPr>
          <w:p w14:paraId="11F1C7B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Aug 2006-June 2008</w:t>
            </w:r>
          </w:p>
        </w:tc>
        <w:tc>
          <w:tcPr>
            <w:tcW w:w="1800" w:type="dxa"/>
            <w:tcBorders>
              <w:top w:val="nil"/>
              <w:bottom w:val="nil"/>
            </w:tcBorders>
            <w:shd w:val="clear" w:color="auto" w:fill="auto"/>
          </w:tcPr>
          <w:p w14:paraId="03871A7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VAMSTA</w:t>
            </w:r>
          </w:p>
        </w:tc>
        <w:tc>
          <w:tcPr>
            <w:tcW w:w="1170" w:type="dxa"/>
            <w:tcBorders>
              <w:top w:val="nil"/>
              <w:bottom w:val="nil"/>
            </w:tcBorders>
            <w:shd w:val="clear" w:color="auto" w:fill="auto"/>
          </w:tcPr>
          <w:p w14:paraId="710FD59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40.3</w:t>
            </w:r>
          </w:p>
        </w:tc>
        <w:tc>
          <w:tcPr>
            <w:tcW w:w="2610" w:type="dxa"/>
            <w:tcBorders>
              <w:top w:val="nil"/>
              <w:bottom w:val="nil"/>
            </w:tcBorders>
            <w:shd w:val="clear" w:color="auto" w:fill="auto"/>
          </w:tcPr>
          <w:p w14:paraId="078129A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Childhood abuse: 60.4</w:t>
            </w:r>
          </w:p>
        </w:tc>
        <w:tc>
          <w:tcPr>
            <w:tcW w:w="2070" w:type="dxa"/>
            <w:gridSpan w:val="2"/>
            <w:tcBorders>
              <w:top w:val="nil"/>
              <w:bottom w:val="nil"/>
            </w:tcBorders>
          </w:tcPr>
          <w:p w14:paraId="012840B1"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tc>
        <w:tc>
          <w:tcPr>
            <w:tcW w:w="1800" w:type="dxa"/>
            <w:tcBorders>
              <w:top w:val="nil"/>
              <w:bottom w:val="nil"/>
            </w:tcBorders>
            <w:shd w:val="clear" w:color="auto" w:fill="auto"/>
          </w:tcPr>
          <w:p w14:paraId="0046894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2D0D9E32"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4B0498DA" w14:textId="77777777" w:rsidTr="002B0F75">
        <w:trPr>
          <w:trHeight w:val="173"/>
        </w:trPr>
        <w:tc>
          <w:tcPr>
            <w:tcW w:w="1525" w:type="dxa"/>
            <w:tcBorders>
              <w:top w:val="nil"/>
              <w:bottom w:val="nil"/>
            </w:tcBorders>
            <w:shd w:val="clear" w:color="auto" w:fill="auto"/>
          </w:tcPr>
          <w:p w14:paraId="4624167D"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Krantz et al. 2019</w:t>
            </w:r>
          </w:p>
        </w:tc>
        <w:tc>
          <w:tcPr>
            <w:tcW w:w="810" w:type="dxa"/>
            <w:tcBorders>
              <w:top w:val="nil"/>
              <w:bottom w:val="nil"/>
            </w:tcBorders>
            <w:shd w:val="clear" w:color="auto" w:fill="auto"/>
          </w:tcPr>
          <w:p w14:paraId="717FA1A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April-Sept 2018</w:t>
            </w:r>
          </w:p>
        </w:tc>
        <w:tc>
          <w:tcPr>
            <w:tcW w:w="1800" w:type="dxa"/>
            <w:tcBorders>
              <w:top w:val="nil"/>
              <w:bottom w:val="nil"/>
            </w:tcBorders>
            <w:shd w:val="clear" w:color="auto" w:fill="auto"/>
          </w:tcPr>
          <w:p w14:paraId="4868B717"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ACE, HADS-A, CCI, BRFSS</w:t>
            </w:r>
          </w:p>
        </w:tc>
        <w:tc>
          <w:tcPr>
            <w:tcW w:w="1170" w:type="dxa"/>
            <w:tcBorders>
              <w:top w:val="nil"/>
              <w:bottom w:val="nil"/>
            </w:tcBorders>
            <w:shd w:val="clear" w:color="auto" w:fill="auto"/>
          </w:tcPr>
          <w:p w14:paraId="7444D54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40</w:t>
            </w:r>
          </w:p>
        </w:tc>
        <w:tc>
          <w:tcPr>
            <w:tcW w:w="2610" w:type="dxa"/>
            <w:tcBorders>
              <w:top w:val="nil"/>
              <w:bottom w:val="nil"/>
            </w:tcBorders>
            <w:shd w:val="clear" w:color="auto" w:fill="auto"/>
          </w:tcPr>
          <w:p w14:paraId="0FB7028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abuse: 43, sexual abuse: 55, emotional: 62, domestic violence: 35</w:t>
            </w:r>
          </w:p>
        </w:tc>
        <w:tc>
          <w:tcPr>
            <w:tcW w:w="2070" w:type="dxa"/>
            <w:gridSpan w:val="2"/>
            <w:tcBorders>
              <w:top w:val="nil"/>
              <w:bottom w:val="nil"/>
            </w:tcBorders>
          </w:tcPr>
          <w:p w14:paraId="7AE8A0B9"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pelvic pain, fibromyalgia, other pain condition, IC, IBS</w:t>
            </w:r>
          </w:p>
        </w:tc>
        <w:tc>
          <w:tcPr>
            <w:tcW w:w="1800" w:type="dxa"/>
            <w:tcBorders>
              <w:top w:val="nil"/>
              <w:bottom w:val="nil"/>
            </w:tcBorders>
            <w:shd w:val="clear" w:color="auto" w:fill="auto"/>
          </w:tcPr>
          <w:p w14:paraId="496AD57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228B09D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3A6859A1" w14:textId="77777777" w:rsidTr="002B0F75">
        <w:trPr>
          <w:trHeight w:val="173"/>
        </w:trPr>
        <w:tc>
          <w:tcPr>
            <w:tcW w:w="1525" w:type="dxa"/>
            <w:tcBorders>
              <w:top w:val="nil"/>
              <w:bottom w:val="nil"/>
            </w:tcBorders>
            <w:shd w:val="clear" w:color="auto" w:fill="auto"/>
          </w:tcPr>
          <w:p w14:paraId="0A68BBB0"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Lai et al. 2016</w:t>
            </w:r>
          </w:p>
        </w:tc>
        <w:tc>
          <w:tcPr>
            <w:tcW w:w="810" w:type="dxa"/>
            <w:tcBorders>
              <w:top w:val="nil"/>
              <w:bottom w:val="nil"/>
            </w:tcBorders>
            <w:shd w:val="clear" w:color="auto" w:fill="auto"/>
          </w:tcPr>
          <w:p w14:paraId="6EF5164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Oct 2012-July 2014</w:t>
            </w:r>
          </w:p>
        </w:tc>
        <w:tc>
          <w:tcPr>
            <w:tcW w:w="1800" w:type="dxa"/>
            <w:tcBorders>
              <w:top w:val="nil"/>
              <w:bottom w:val="nil"/>
            </w:tcBorders>
            <w:shd w:val="clear" w:color="auto" w:fill="auto"/>
          </w:tcPr>
          <w:p w14:paraId="4B642BE8"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CTES, RTES, HADS-A, PROMIS</w:t>
            </w:r>
          </w:p>
        </w:tc>
        <w:tc>
          <w:tcPr>
            <w:tcW w:w="1170" w:type="dxa"/>
            <w:tcBorders>
              <w:top w:val="nil"/>
              <w:bottom w:val="nil"/>
            </w:tcBorders>
            <w:shd w:val="clear" w:color="auto" w:fill="auto"/>
          </w:tcPr>
          <w:p w14:paraId="5CF5513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53.4</w:t>
            </w:r>
          </w:p>
        </w:tc>
        <w:tc>
          <w:tcPr>
            <w:tcW w:w="2610" w:type="dxa"/>
            <w:tcBorders>
              <w:top w:val="nil"/>
              <w:bottom w:val="nil"/>
            </w:tcBorders>
            <w:shd w:val="clear" w:color="auto" w:fill="auto"/>
          </w:tcPr>
          <w:p w14:paraId="4A38FD4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Death of close member: 51 divorces: 33.3, sexual experience: 29.4, violence: 23.5, injuries:27.4, others: 35.5 </w:t>
            </w:r>
          </w:p>
        </w:tc>
        <w:tc>
          <w:tcPr>
            <w:tcW w:w="2070" w:type="dxa"/>
            <w:gridSpan w:val="2"/>
            <w:tcBorders>
              <w:top w:val="nil"/>
              <w:bottom w:val="nil"/>
            </w:tcBorders>
          </w:tcPr>
          <w:p w14:paraId="075947EA"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bladder pain and/or non-urologic pain</w:t>
            </w:r>
          </w:p>
        </w:tc>
        <w:tc>
          <w:tcPr>
            <w:tcW w:w="1800" w:type="dxa"/>
            <w:tcBorders>
              <w:top w:val="nil"/>
              <w:bottom w:val="nil"/>
            </w:tcBorders>
            <w:shd w:val="clear" w:color="auto" w:fill="auto"/>
          </w:tcPr>
          <w:p w14:paraId="07289B8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BE424E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1596685B" w14:textId="77777777" w:rsidTr="002B0F75">
        <w:trPr>
          <w:trHeight w:val="432"/>
        </w:trPr>
        <w:tc>
          <w:tcPr>
            <w:tcW w:w="1525" w:type="dxa"/>
            <w:tcBorders>
              <w:top w:val="nil"/>
              <w:bottom w:val="nil"/>
            </w:tcBorders>
            <w:shd w:val="clear" w:color="auto" w:fill="auto"/>
          </w:tcPr>
          <w:p w14:paraId="504359AB"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Lee et al. 2009</w:t>
            </w:r>
          </w:p>
        </w:tc>
        <w:tc>
          <w:tcPr>
            <w:tcW w:w="810" w:type="dxa"/>
            <w:tcBorders>
              <w:top w:val="nil"/>
              <w:bottom w:val="nil"/>
            </w:tcBorders>
            <w:shd w:val="clear" w:color="auto" w:fill="auto"/>
          </w:tcPr>
          <w:p w14:paraId="42D3C957"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51DFEEB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WMH–CIDI</w:t>
            </w:r>
          </w:p>
        </w:tc>
        <w:tc>
          <w:tcPr>
            <w:tcW w:w="1170" w:type="dxa"/>
            <w:tcBorders>
              <w:top w:val="nil"/>
              <w:bottom w:val="nil"/>
            </w:tcBorders>
            <w:shd w:val="clear" w:color="auto" w:fill="auto"/>
          </w:tcPr>
          <w:p w14:paraId="16D6A43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46.2</w:t>
            </w:r>
          </w:p>
        </w:tc>
        <w:tc>
          <w:tcPr>
            <w:tcW w:w="2610" w:type="dxa"/>
            <w:tcBorders>
              <w:top w:val="nil"/>
              <w:bottom w:val="nil"/>
            </w:tcBorders>
            <w:shd w:val="clear" w:color="auto" w:fill="auto"/>
          </w:tcPr>
          <w:p w14:paraId="4366F73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Any childhood family advertise:  43.2</w:t>
            </w:r>
          </w:p>
        </w:tc>
        <w:tc>
          <w:tcPr>
            <w:tcW w:w="2070" w:type="dxa"/>
            <w:gridSpan w:val="2"/>
            <w:tcBorders>
              <w:top w:val="nil"/>
              <w:bottom w:val="nil"/>
            </w:tcBorders>
          </w:tcPr>
          <w:p w14:paraId="602626D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Frequent and/or severe headaches</w:t>
            </w:r>
          </w:p>
        </w:tc>
        <w:tc>
          <w:tcPr>
            <w:tcW w:w="1800" w:type="dxa"/>
            <w:tcBorders>
              <w:top w:val="nil"/>
              <w:bottom w:val="nil"/>
            </w:tcBorders>
            <w:shd w:val="clear" w:color="auto" w:fill="auto"/>
          </w:tcPr>
          <w:p w14:paraId="32AD9CC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4963D2A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r>
      <w:tr w:rsidR="001B256E" w:rsidRPr="00CD2F5C" w14:paraId="1F7C858B" w14:textId="77777777" w:rsidTr="002B0F75">
        <w:trPr>
          <w:trHeight w:val="173"/>
        </w:trPr>
        <w:tc>
          <w:tcPr>
            <w:tcW w:w="1525" w:type="dxa"/>
            <w:tcBorders>
              <w:top w:val="nil"/>
              <w:bottom w:val="nil"/>
            </w:tcBorders>
            <w:shd w:val="clear" w:color="auto" w:fill="auto"/>
          </w:tcPr>
          <w:p w14:paraId="462E2A4C"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lastRenderedPageBreak/>
              <w:t>Leisner et al. 2014</w:t>
            </w:r>
          </w:p>
        </w:tc>
        <w:tc>
          <w:tcPr>
            <w:tcW w:w="810" w:type="dxa"/>
            <w:tcBorders>
              <w:top w:val="nil"/>
              <w:bottom w:val="nil"/>
            </w:tcBorders>
            <w:shd w:val="clear" w:color="auto" w:fill="auto"/>
          </w:tcPr>
          <w:p w14:paraId="74198B22"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12FB9C4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MPI-D, SES, HADS</w:t>
            </w:r>
          </w:p>
        </w:tc>
        <w:tc>
          <w:tcPr>
            <w:tcW w:w="1170" w:type="dxa"/>
            <w:tcBorders>
              <w:top w:val="nil"/>
              <w:bottom w:val="nil"/>
            </w:tcBorders>
            <w:shd w:val="clear" w:color="auto" w:fill="auto"/>
          </w:tcPr>
          <w:p w14:paraId="59A70C4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57.5</w:t>
            </w:r>
          </w:p>
        </w:tc>
        <w:tc>
          <w:tcPr>
            <w:tcW w:w="2610" w:type="dxa"/>
            <w:tcBorders>
              <w:top w:val="nil"/>
              <w:bottom w:val="nil"/>
            </w:tcBorders>
            <w:shd w:val="clear" w:color="auto" w:fill="auto"/>
          </w:tcPr>
          <w:p w14:paraId="788E303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Abuse: 40.8, physical, emotional and sexual FME: 2.91, physical FME: 21.4, emotional FME: 27.2, sexual FME: 19.4</w:t>
            </w:r>
          </w:p>
        </w:tc>
        <w:tc>
          <w:tcPr>
            <w:tcW w:w="2070" w:type="dxa"/>
            <w:gridSpan w:val="2"/>
            <w:tcBorders>
              <w:top w:val="nil"/>
              <w:bottom w:val="nil"/>
            </w:tcBorders>
          </w:tcPr>
          <w:p w14:paraId="01DCB1E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low back pain, sensory pain perception</w:t>
            </w:r>
          </w:p>
        </w:tc>
        <w:tc>
          <w:tcPr>
            <w:tcW w:w="1800" w:type="dxa"/>
            <w:tcBorders>
              <w:top w:val="nil"/>
              <w:bottom w:val="nil"/>
            </w:tcBorders>
            <w:shd w:val="clear" w:color="auto" w:fill="auto"/>
          </w:tcPr>
          <w:p w14:paraId="0AA2CC5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2286912F"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40D4BB35" w14:textId="77777777" w:rsidTr="002B0F75">
        <w:trPr>
          <w:trHeight w:val="173"/>
        </w:trPr>
        <w:tc>
          <w:tcPr>
            <w:tcW w:w="1525" w:type="dxa"/>
            <w:tcBorders>
              <w:top w:val="nil"/>
              <w:bottom w:val="nil"/>
            </w:tcBorders>
            <w:shd w:val="clear" w:color="auto" w:fill="auto"/>
          </w:tcPr>
          <w:p w14:paraId="071BE90C"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Määttä et al. 2019</w:t>
            </w:r>
          </w:p>
        </w:tc>
        <w:tc>
          <w:tcPr>
            <w:tcW w:w="810" w:type="dxa"/>
            <w:tcBorders>
              <w:top w:val="nil"/>
              <w:bottom w:val="nil"/>
            </w:tcBorders>
            <w:shd w:val="clear" w:color="auto" w:fill="auto"/>
          </w:tcPr>
          <w:p w14:paraId="54C82E6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Jan 2015-Dec 2016</w:t>
            </w:r>
          </w:p>
        </w:tc>
        <w:tc>
          <w:tcPr>
            <w:tcW w:w="1800" w:type="dxa"/>
            <w:tcBorders>
              <w:top w:val="nil"/>
              <w:bottom w:val="nil"/>
            </w:tcBorders>
            <w:shd w:val="clear" w:color="auto" w:fill="auto"/>
          </w:tcPr>
          <w:p w14:paraId="1EA876E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The Trauma and Distress Scale, BAI, BDI</w:t>
            </w:r>
          </w:p>
        </w:tc>
        <w:tc>
          <w:tcPr>
            <w:tcW w:w="1170" w:type="dxa"/>
            <w:tcBorders>
              <w:top w:val="nil"/>
              <w:bottom w:val="nil"/>
            </w:tcBorders>
            <w:shd w:val="clear" w:color="auto" w:fill="auto"/>
          </w:tcPr>
          <w:p w14:paraId="3FE733E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54</w:t>
            </w:r>
          </w:p>
        </w:tc>
        <w:tc>
          <w:tcPr>
            <w:tcW w:w="2610" w:type="dxa"/>
            <w:tcBorders>
              <w:top w:val="nil"/>
              <w:bottom w:val="nil"/>
            </w:tcBorders>
            <w:shd w:val="clear" w:color="auto" w:fill="auto"/>
          </w:tcPr>
          <w:p w14:paraId="23BFA5B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 75, physical neglect: 63, emotional abuse: 35, physical abuse: 25, sexual abuse 10</w:t>
            </w:r>
          </w:p>
        </w:tc>
        <w:tc>
          <w:tcPr>
            <w:tcW w:w="2070" w:type="dxa"/>
            <w:gridSpan w:val="2"/>
            <w:tcBorders>
              <w:top w:val="nil"/>
              <w:bottom w:val="nil"/>
            </w:tcBorders>
          </w:tcPr>
          <w:p w14:paraId="0A448A0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neuropathic pain</w:t>
            </w:r>
          </w:p>
        </w:tc>
        <w:tc>
          <w:tcPr>
            <w:tcW w:w="1800" w:type="dxa"/>
            <w:tcBorders>
              <w:top w:val="nil"/>
              <w:bottom w:val="nil"/>
            </w:tcBorders>
            <w:shd w:val="clear" w:color="auto" w:fill="auto"/>
          </w:tcPr>
          <w:p w14:paraId="026F619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05FFC92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r>
      <w:tr w:rsidR="001B256E" w:rsidRPr="00CD2F5C" w14:paraId="6A325E6F" w14:textId="77777777" w:rsidTr="002B0F75">
        <w:trPr>
          <w:trHeight w:val="173"/>
        </w:trPr>
        <w:tc>
          <w:tcPr>
            <w:tcW w:w="1525" w:type="dxa"/>
            <w:tcBorders>
              <w:top w:val="nil"/>
              <w:bottom w:val="nil"/>
            </w:tcBorders>
            <w:shd w:val="clear" w:color="auto" w:fill="auto"/>
          </w:tcPr>
          <w:p w14:paraId="3C1EA926"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Macedo et al. 2019</w:t>
            </w:r>
          </w:p>
        </w:tc>
        <w:tc>
          <w:tcPr>
            <w:tcW w:w="810" w:type="dxa"/>
            <w:tcBorders>
              <w:top w:val="nil"/>
              <w:bottom w:val="nil"/>
            </w:tcBorders>
            <w:shd w:val="clear" w:color="auto" w:fill="auto"/>
          </w:tcPr>
          <w:p w14:paraId="7F4BFD9A"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214D053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BPI</w:t>
            </w:r>
          </w:p>
        </w:tc>
        <w:tc>
          <w:tcPr>
            <w:tcW w:w="1170" w:type="dxa"/>
            <w:tcBorders>
              <w:top w:val="nil"/>
              <w:bottom w:val="nil"/>
            </w:tcBorders>
            <w:shd w:val="clear" w:color="auto" w:fill="auto"/>
          </w:tcPr>
          <w:p w14:paraId="22CEDE9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24.82</w:t>
            </w:r>
          </w:p>
        </w:tc>
        <w:tc>
          <w:tcPr>
            <w:tcW w:w="2610" w:type="dxa"/>
            <w:tcBorders>
              <w:top w:val="nil"/>
              <w:bottom w:val="nil"/>
            </w:tcBorders>
            <w:shd w:val="clear" w:color="auto" w:fill="auto"/>
          </w:tcPr>
          <w:p w14:paraId="753DE9C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abuse: 54.5, physical abuse: 40.9, sexual abuse: 36.6, physical neglect: 45.5</w:t>
            </w:r>
          </w:p>
        </w:tc>
        <w:tc>
          <w:tcPr>
            <w:tcW w:w="2070" w:type="dxa"/>
            <w:gridSpan w:val="2"/>
            <w:tcBorders>
              <w:top w:val="nil"/>
              <w:bottom w:val="nil"/>
            </w:tcBorders>
          </w:tcPr>
          <w:p w14:paraId="633E1D21"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tc>
        <w:tc>
          <w:tcPr>
            <w:tcW w:w="1800" w:type="dxa"/>
            <w:tcBorders>
              <w:top w:val="nil"/>
              <w:bottom w:val="nil"/>
            </w:tcBorders>
            <w:shd w:val="clear" w:color="auto" w:fill="auto"/>
          </w:tcPr>
          <w:p w14:paraId="60F070D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03262A53"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67AEF822" w14:textId="77777777" w:rsidTr="002B0F75">
        <w:trPr>
          <w:trHeight w:val="173"/>
        </w:trPr>
        <w:tc>
          <w:tcPr>
            <w:tcW w:w="1525" w:type="dxa"/>
            <w:tcBorders>
              <w:top w:val="nil"/>
              <w:bottom w:val="nil"/>
            </w:tcBorders>
            <w:shd w:val="clear" w:color="auto" w:fill="auto"/>
          </w:tcPr>
          <w:p w14:paraId="295DAF9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McCall-Hosenfeld et al. 2014</w:t>
            </w:r>
          </w:p>
        </w:tc>
        <w:tc>
          <w:tcPr>
            <w:tcW w:w="810" w:type="dxa"/>
            <w:tcBorders>
              <w:top w:val="nil"/>
              <w:bottom w:val="nil"/>
            </w:tcBorders>
            <w:shd w:val="clear" w:color="auto" w:fill="auto"/>
          </w:tcPr>
          <w:p w14:paraId="0A2596C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2005-2007</w:t>
            </w:r>
          </w:p>
        </w:tc>
        <w:tc>
          <w:tcPr>
            <w:tcW w:w="1800" w:type="dxa"/>
            <w:tcBorders>
              <w:top w:val="nil"/>
              <w:bottom w:val="nil"/>
            </w:tcBorders>
            <w:shd w:val="clear" w:color="auto" w:fill="auto"/>
          </w:tcPr>
          <w:p w14:paraId="5F16649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Health Home Questionnaire, PHQ</w:t>
            </w:r>
          </w:p>
        </w:tc>
        <w:tc>
          <w:tcPr>
            <w:tcW w:w="1170" w:type="dxa"/>
            <w:tcBorders>
              <w:top w:val="nil"/>
              <w:bottom w:val="nil"/>
            </w:tcBorders>
            <w:shd w:val="clear" w:color="auto" w:fill="auto"/>
          </w:tcPr>
          <w:p w14:paraId="791D472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47</w:t>
            </w:r>
          </w:p>
        </w:tc>
        <w:tc>
          <w:tcPr>
            <w:tcW w:w="2610" w:type="dxa"/>
            <w:tcBorders>
              <w:top w:val="nil"/>
              <w:bottom w:val="nil"/>
            </w:tcBorders>
            <w:shd w:val="clear" w:color="auto" w:fill="auto"/>
          </w:tcPr>
          <w:p w14:paraId="733F5E4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Sexual trauma: 49, IPV Victimization: 57, any interpersonal trauma: 73</w:t>
            </w:r>
          </w:p>
        </w:tc>
        <w:tc>
          <w:tcPr>
            <w:tcW w:w="2070" w:type="dxa"/>
            <w:gridSpan w:val="2"/>
            <w:tcBorders>
              <w:top w:val="nil"/>
              <w:bottom w:val="nil"/>
            </w:tcBorders>
          </w:tcPr>
          <w:p w14:paraId="6110FC7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tc>
        <w:tc>
          <w:tcPr>
            <w:tcW w:w="1800" w:type="dxa"/>
            <w:tcBorders>
              <w:top w:val="nil"/>
              <w:bottom w:val="nil"/>
            </w:tcBorders>
            <w:shd w:val="clear" w:color="auto" w:fill="auto"/>
          </w:tcPr>
          <w:p w14:paraId="63B3763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c>
          <w:tcPr>
            <w:tcW w:w="1895" w:type="dxa"/>
            <w:tcBorders>
              <w:top w:val="nil"/>
              <w:bottom w:val="nil"/>
            </w:tcBorders>
            <w:shd w:val="clear" w:color="auto" w:fill="auto"/>
          </w:tcPr>
          <w:p w14:paraId="76CB1343"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n.m.</w:t>
            </w:r>
          </w:p>
        </w:tc>
      </w:tr>
      <w:tr w:rsidR="001B256E" w:rsidRPr="00CD2F5C" w14:paraId="19654D63" w14:textId="77777777" w:rsidTr="002B0F75">
        <w:trPr>
          <w:trHeight w:val="173"/>
        </w:trPr>
        <w:tc>
          <w:tcPr>
            <w:tcW w:w="1525" w:type="dxa"/>
            <w:tcBorders>
              <w:top w:val="nil"/>
              <w:bottom w:val="nil"/>
            </w:tcBorders>
            <w:shd w:val="clear" w:color="auto" w:fill="auto"/>
          </w:tcPr>
          <w:p w14:paraId="3E7227DD"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Mehta et al. 2017</w:t>
            </w:r>
          </w:p>
        </w:tc>
        <w:tc>
          <w:tcPr>
            <w:tcW w:w="810" w:type="dxa"/>
            <w:tcBorders>
              <w:top w:val="nil"/>
              <w:bottom w:val="nil"/>
            </w:tcBorders>
            <w:shd w:val="clear" w:color="auto" w:fill="auto"/>
          </w:tcPr>
          <w:p w14:paraId="3C701843"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335F870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ASI, PI-SF, DASS-21, PCS, SPAHQ</w:t>
            </w:r>
          </w:p>
        </w:tc>
        <w:tc>
          <w:tcPr>
            <w:tcW w:w="1170" w:type="dxa"/>
            <w:tcBorders>
              <w:top w:val="nil"/>
              <w:bottom w:val="nil"/>
            </w:tcBorders>
            <w:shd w:val="clear" w:color="auto" w:fill="auto"/>
          </w:tcPr>
          <w:p w14:paraId="72CCC6D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45.4</w:t>
            </w:r>
          </w:p>
        </w:tc>
        <w:tc>
          <w:tcPr>
            <w:tcW w:w="2610" w:type="dxa"/>
            <w:tcBorders>
              <w:top w:val="nil"/>
              <w:bottom w:val="nil"/>
            </w:tcBorders>
            <w:shd w:val="clear" w:color="auto" w:fill="auto"/>
          </w:tcPr>
          <w:p w14:paraId="34F57DD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Sexual abuse: (childhood: 29.5, adulthood: 39.8), </w:t>
            </w:r>
            <w:r w:rsidRPr="00CD2F5C">
              <w:rPr>
                <w:rFonts w:ascii="Cambria" w:hAnsi="Cambria" w:cstheme="minorHAnsi"/>
                <w:sz w:val="24"/>
                <w:szCs w:val="24"/>
              </w:rPr>
              <w:lastRenderedPageBreak/>
              <w:t>physical abuse (childhood: 66.4, adulthood: 56.1)</w:t>
            </w:r>
          </w:p>
        </w:tc>
        <w:tc>
          <w:tcPr>
            <w:tcW w:w="2070" w:type="dxa"/>
            <w:gridSpan w:val="2"/>
            <w:tcBorders>
              <w:top w:val="nil"/>
              <w:bottom w:val="nil"/>
            </w:tcBorders>
          </w:tcPr>
          <w:p w14:paraId="48E8DF6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lastRenderedPageBreak/>
              <w:t>Chronic pain, pain-related disability</w:t>
            </w:r>
          </w:p>
        </w:tc>
        <w:tc>
          <w:tcPr>
            <w:tcW w:w="1800" w:type="dxa"/>
            <w:tcBorders>
              <w:top w:val="nil"/>
              <w:bottom w:val="nil"/>
            </w:tcBorders>
            <w:shd w:val="clear" w:color="auto" w:fill="auto"/>
          </w:tcPr>
          <w:p w14:paraId="28CEF41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267609DE"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2E8B6069" w14:textId="77777777" w:rsidTr="002B0F75">
        <w:trPr>
          <w:trHeight w:val="693"/>
        </w:trPr>
        <w:tc>
          <w:tcPr>
            <w:tcW w:w="1525" w:type="dxa"/>
            <w:tcBorders>
              <w:top w:val="nil"/>
              <w:bottom w:val="nil"/>
            </w:tcBorders>
            <w:shd w:val="clear" w:color="auto" w:fill="auto"/>
          </w:tcPr>
          <w:p w14:paraId="5E568A3B"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Naliboff</w:t>
            </w:r>
            <w:proofErr w:type="spellEnd"/>
            <w:r w:rsidRPr="00CD2F5C">
              <w:rPr>
                <w:rFonts w:ascii="Cambria" w:hAnsi="Cambria" w:cstheme="minorHAnsi"/>
                <w:sz w:val="24"/>
                <w:szCs w:val="24"/>
              </w:rPr>
              <w:t xml:space="preserve"> et al. 2015</w:t>
            </w:r>
          </w:p>
        </w:tc>
        <w:tc>
          <w:tcPr>
            <w:tcW w:w="810" w:type="dxa"/>
            <w:tcBorders>
              <w:top w:val="nil"/>
              <w:bottom w:val="nil"/>
            </w:tcBorders>
            <w:shd w:val="clear" w:color="auto" w:fill="auto"/>
          </w:tcPr>
          <w:p w14:paraId="3901ED46"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19F8693A"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GUPI, HADS, BPI</w:t>
            </w:r>
          </w:p>
        </w:tc>
        <w:tc>
          <w:tcPr>
            <w:tcW w:w="1170" w:type="dxa"/>
            <w:tcBorders>
              <w:top w:val="nil"/>
              <w:bottom w:val="nil"/>
            </w:tcBorders>
            <w:shd w:val="clear" w:color="auto" w:fill="auto"/>
          </w:tcPr>
          <w:p w14:paraId="69E9A4E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46.8</w:t>
            </w:r>
          </w:p>
        </w:tc>
        <w:tc>
          <w:tcPr>
            <w:tcW w:w="2610" w:type="dxa"/>
            <w:tcBorders>
              <w:top w:val="nil"/>
              <w:bottom w:val="nil"/>
            </w:tcBorders>
            <w:shd w:val="clear" w:color="auto" w:fill="auto"/>
          </w:tcPr>
          <w:p w14:paraId="4367C254"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070" w:type="dxa"/>
            <w:gridSpan w:val="2"/>
            <w:tcBorders>
              <w:top w:val="nil"/>
              <w:bottom w:val="nil"/>
            </w:tcBorders>
          </w:tcPr>
          <w:p w14:paraId="7E96E1E2"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Urologic chronic pelvic pain syndromes</w:t>
            </w:r>
          </w:p>
        </w:tc>
        <w:tc>
          <w:tcPr>
            <w:tcW w:w="1800" w:type="dxa"/>
            <w:tcBorders>
              <w:top w:val="nil"/>
              <w:bottom w:val="nil"/>
            </w:tcBorders>
            <w:shd w:val="clear" w:color="auto" w:fill="auto"/>
          </w:tcPr>
          <w:p w14:paraId="7D64A557"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95" w:type="dxa"/>
            <w:tcBorders>
              <w:top w:val="nil"/>
              <w:bottom w:val="nil"/>
            </w:tcBorders>
            <w:shd w:val="clear" w:color="auto" w:fill="auto"/>
          </w:tcPr>
          <w:p w14:paraId="1927FFC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02083DAE" w14:textId="77777777" w:rsidTr="002B0F75">
        <w:trPr>
          <w:trHeight w:val="3780"/>
        </w:trPr>
        <w:tc>
          <w:tcPr>
            <w:tcW w:w="1525" w:type="dxa"/>
            <w:tcBorders>
              <w:top w:val="nil"/>
              <w:bottom w:val="nil"/>
            </w:tcBorders>
            <w:shd w:val="clear" w:color="auto" w:fill="auto"/>
          </w:tcPr>
          <w:p w14:paraId="33FE790F"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Nicol et al. 2016</w:t>
            </w:r>
          </w:p>
        </w:tc>
        <w:tc>
          <w:tcPr>
            <w:tcW w:w="810" w:type="dxa"/>
            <w:tcBorders>
              <w:top w:val="nil"/>
              <w:bottom w:val="nil"/>
            </w:tcBorders>
            <w:shd w:val="clear" w:color="auto" w:fill="auto"/>
          </w:tcPr>
          <w:p w14:paraId="4476F0E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Nov 2010-Feb 2014</w:t>
            </w:r>
          </w:p>
        </w:tc>
        <w:tc>
          <w:tcPr>
            <w:tcW w:w="1800" w:type="dxa"/>
            <w:tcBorders>
              <w:top w:val="nil"/>
              <w:bottom w:val="nil"/>
            </w:tcBorders>
            <w:shd w:val="clear" w:color="auto" w:fill="auto"/>
          </w:tcPr>
          <w:p w14:paraId="22053141"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BPI, HADS. PROMIS</w:t>
            </w:r>
          </w:p>
        </w:tc>
        <w:tc>
          <w:tcPr>
            <w:tcW w:w="1170" w:type="dxa"/>
            <w:tcBorders>
              <w:top w:val="nil"/>
              <w:bottom w:val="nil"/>
            </w:tcBorders>
            <w:shd w:val="clear" w:color="auto" w:fill="auto"/>
          </w:tcPr>
          <w:p w14:paraId="3C3F41D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45.47</w:t>
            </w:r>
          </w:p>
        </w:tc>
        <w:tc>
          <w:tcPr>
            <w:tcW w:w="2610" w:type="dxa"/>
            <w:tcBorders>
              <w:top w:val="nil"/>
              <w:bottom w:val="nil"/>
            </w:tcBorders>
            <w:shd w:val="clear" w:color="auto" w:fill="auto"/>
          </w:tcPr>
          <w:p w14:paraId="61CD838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History of childhood abuse: 15.25</w:t>
            </w:r>
          </w:p>
        </w:tc>
        <w:tc>
          <w:tcPr>
            <w:tcW w:w="2070" w:type="dxa"/>
            <w:gridSpan w:val="2"/>
            <w:tcBorders>
              <w:top w:val="nil"/>
              <w:bottom w:val="nil"/>
            </w:tcBorders>
          </w:tcPr>
          <w:p w14:paraId="243CF678"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spine pain (including cervical,</w:t>
            </w:r>
          </w:p>
          <w:p w14:paraId="51C81430"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thoracic, and lumbar spine); headache and facial</w:t>
            </w:r>
          </w:p>
          <w:p w14:paraId="03BB50EE"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pain; joint pain (</w:t>
            </w:r>
            <w:proofErr w:type="spellStart"/>
            <w:r w:rsidRPr="00CD2F5C">
              <w:rPr>
                <w:rFonts w:ascii="Cambria" w:hAnsi="Cambria"/>
                <w:sz w:val="24"/>
                <w:szCs w:val="24"/>
              </w:rPr>
              <w:t>eg</w:t>
            </w:r>
            <w:proofErr w:type="spellEnd"/>
            <w:r w:rsidRPr="00CD2F5C">
              <w:rPr>
                <w:rFonts w:ascii="Cambria" w:hAnsi="Cambria"/>
                <w:sz w:val="24"/>
                <w:szCs w:val="24"/>
              </w:rPr>
              <w:t>, shoulders, elbows, hip, knees); extremity pain (</w:t>
            </w:r>
            <w:proofErr w:type="spellStart"/>
            <w:r w:rsidRPr="00CD2F5C">
              <w:rPr>
                <w:rFonts w:ascii="Cambria" w:hAnsi="Cambria"/>
                <w:sz w:val="24"/>
                <w:szCs w:val="24"/>
              </w:rPr>
              <w:t>eg</w:t>
            </w:r>
            <w:proofErr w:type="spellEnd"/>
            <w:r w:rsidRPr="00CD2F5C">
              <w:rPr>
                <w:rFonts w:ascii="Cambria" w:hAnsi="Cambria"/>
                <w:sz w:val="24"/>
                <w:szCs w:val="24"/>
              </w:rPr>
              <w:t xml:space="preserve">, arms, legs, feet, hands); neuropathic pain; abdominal and </w:t>
            </w:r>
            <w:r w:rsidRPr="00CD2F5C">
              <w:rPr>
                <w:rFonts w:ascii="Cambria" w:hAnsi="Cambria"/>
                <w:sz w:val="24"/>
                <w:szCs w:val="24"/>
              </w:rPr>
              <w:lastRenderedPageBreak/>
              <w:t>genitourinary pain;</w:t>
            </w:r>
          </w:p>
          <w:p w14:paraId="441C659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widespread musculoskeletal pain; cancer pain;</w:t>
            </w:r>
          </w:p>
          <w:p w14:paraId="10735038"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 xml:space="preserve">miscellaneous pain </w:t>
            </w:r>
          </w:p>
        </w:tc>
        <w:tc>
          <w:tcPr>
            <w:tcW w:w="1800" w:type="dxa"/>
            <w:tcBorders>
              <w:top w:val="nil"/>
              <w:bottom w:val="nil"/>
            </w:tcBorders>
            <w:shd w:val="clear" w:color="auto" w:fill="auto"/>
          </w:tcPr>
          <w:p w14:paraId="32D9247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lastRenderedPageBreak/>
              <w:t>Strong</w:t>
            </w:r>
          </w:p>
        </w:tc>
        <w:tc>
          <w:tcPr>
            <w:tcW w:w="1895" w:type="dxa"/>
            <w:tcBorders>
              <w:top w:val="nil"/>
              <w:bottom w:val="nil"/>
            </w:tcBorders>
            <w:shd w:val="clear" w:color="auto" w:fill="auto"/>
          </w:tcPr>
          <w:p w14:paraId="4F581AC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21443A5F" w14:textId="77777777" w:rsidTr="002B0F75">
        <w:trPr>
          <w:trHeight w:val="1260"/>
        </w:trPr>
        <w:tc>
          <w:tcPr>
            <w:tcW w:w="1525" w:type="dxa"/>
            <w:tcBorders>
              <w:top w:val="nil"/>
              <w:bottom w:val="nil"/>
            </w:tcBorders>
            <w:shd w:val="clear" w:color="auto" w:fill="auto"/>
          </w:tcPr>
          <w:p w14:paraId="1132F99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Nicolson et al. 2010</w:t>
            </w:r>
          </w:p>
        </w:tc>
        <w:tc>
          <w:tcPr>
            <w:tcW w:w="810" w:type="dxa"/>
            <w:tcBorders>
              <w:top w:val="nil"/>
              <w:bottom w:val="nil"/>
            </w:tcBorders>
            <w:shd w:val="clear" w:color="auto" w:fill="auto"/>
          </w:tcPr>
          <w:p w14:paraId="6B9D738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May 2002-March 2004</w:t>
            </w:r>
          </w:p>
        </w:tc>
        <w:tc>
          <w:tcPr>
            <w:tcW w:w="1800" w:type="dxa"/>
            <w:tcBorders>
              <w:top w:val="nil"/>
              <w:bottom w:val="nil"/>
            </w:tcBorders>
            <w:shd w:val="clear" w:color="auto" w:fill="auto"/>
          </w:tcPr>
          <w:p w14:paraId="12665EA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CTQ-sf</w:t>
            </w:r>
          </w:p>
        </w:tc>
        <w:tc>
          <w:tcPr>
            <w:tcW w:w="1170" w:type="dxa"/>
            <w:tcBorders>
              <w:top w:val="nil"/>
              <w:bottom w:val="nil"/>
            </w:tcBorders>
            <w:shd w:val="clear" w:color="auto" w:fill="auto"/>
          </w:tcPr>
          <w:p w14:paraId="7C493D1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53.5</w:t>
            </w:r>
          </w:p>
        </w:tc>
        <w:tc>
          <w:tcPr>
            <w:tcW w:w="2610" w:type="dxa"/>
            <w:tcBorders>
              <w:top w:val="nil"/>
              <w:bottom w:val="nil"/>
            </w:tcBorders>
            <w:shd w:val="clear" w:color="auto" w:fill="auto"/>
          </w:tcPr>
          <w:p w14:paraId="20B9D68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abuse: 8.3, sexual abuse:8.9, emotional neglect: 10.7, emotional abuse: 11.4, physical neglect: 7.1</w:t>
            </w:r>
          </w:p>
        </w:tc>
        <w:tc>
          <w:tcPr>
            <w:tcW w:w="2070" w:type="dxa"/>
            <w:gridSpan w:val="2"/>
            <w:tcBorders>
              <w:top w:val="nil"/>
              <w:bottom w:val="nil"/>
            </w:tcBorders>
          </w:tcPr>
          <w:p w14:paraId="1467C8F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p w14:paraId="6C968AD8"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conditions (combined fibromyalgia and osteoarthritis or osteoarthritis only)</w:t>
            </w:r>
          </w:p>
        </w:tc>
        <w:tc>
          <w:tcPr>
            <w:tcW w:w="1800" w:type="dxa"/>
            <w:tcBorders>
              <w:top w:val="nil"/>
              <w:bottom w:val="nil"/>
            </w:tcBorders>
            <w:shd w:val="clear" w:color="auto" w:fill="auto"/>
          </w:tcPr>
          <w:p w14:paraId="665960C0"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95" w:type="dxa"/>
            <w:tcBorders>
              <w:top w:val="nil"/>
              <w:bottom w:val="nil"/>
            </w:tcBorders>
            <w:shd w:val="clear" w:color="auto" w:fill="auto"/>
          </w:tcPr>
          <w:p w14:paraId="0DE18F54"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7503F80F" w14:textId="77777777" w:rsidTr="002B0F75">
        <w:trPr>
          <w:trHeight w:val="173"/>
        </w:trPr>
        <w:tc>
          <w:tcPr>
            <w:tcW w:w="1525" w:type="dxa"/>
            <w:tcBorders>
              <w:top w:val="nil"/>
              <w:bottom w:val="nil"/>
            </w:tcBorders>
            <w:shd w:val="clear" w:color="auto" w:fill="auto"/>
          </w:tcPr>
          <w:p w14:paraId="5180127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Noteboom et al. 2021</w:t>
            </w:r>
          </w:p>
        </w:tc>
        <w:tc>
          <w:tcPr>
            <w:tcW w:w="810" w:type="dxa"/>
            <w:tcBorders>
              <w:top w:val="nil"/>
              <w:bottom w:val="nil"/>
            </w:tcBorders>
            <w:shd w:val="clear" w:color="auto" w:fill="auto"/>
          </w:tcPr>
          <w:p w14:paraId="39517C22"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0613E57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CTQ-SF, NEMESIS-2</w:t>
            </w:r>
          </w:p>
        </w:tc>
        <w:tc>
          <w:tcPr>
            <w:tcW w:w="1170" w:type="dxa"/>
            <w:tcBorders>
              <w:top w:val="nil"/>
              <w:bottom w:val="nil"/>
            </w:tcBorders>
            <w:shd w:val="clear" w:color="auto" w:fill="auto"/>
          </w:tcPr>
          <w:p w14:paraId="4456DA2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42.6</w:t>
            </w:r>
          </w:p>
        </w:tc>
        <w:tc>
          <w:tcPr>
            <w:tcW w:w="2610" w:type="dxa"/>
            <w:tcBorders>
              <w:top w:val="nil"/>
              <w:bottom w:val="nil"/>
            </w:tcBorders>
            <w:shd w:val="clear" w:color="auto" w:fill="auto"/>
          </w:tcPr>
          <w:p w14:paraId="52FBCE6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 19.8, sexual trauma: 7.6, physical trauma: 7.8</w:t>
            </w:r>
          </w:p>
        </w:tc>
        <w:tc>
          <w:tcPr>
            <w:tcW w:w="2070" w:type="dxa"/>
            <w:gridSpan w:val="2"/>
            <w:tcBorders>
              <w:top w:val="nil"/>
              <w:bottom w:val="nil"/>
            </w:tcBorders>
          </w:tcPr>
          <w:p w14:paraId="212B17A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Adult chronic physical disorders (migraine, musculoskeletal, etc.)</w:t>
            </w:r>
          </w:p>
        </w:tc>
        <w:tc>
          <w:tcPr>
            <w:tcW w:w="1800" w:type="dxa"/>
            <w:tcBorders>
              <w:top w:val="nil"/>
              <w:bottom w:val="nil"/>
            </w:tcBorders>
            <w:shd w:val="clear" w:color="auto" w:fill="auto"/>
          </w:tcPr>
          <w:p w14:paraId="0D36EBF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No association</w:t>
            </w:r>
          </w:p>
        </w:tc>
        <w:tc>
          <w:tcPr>
            <w:tcW w:w="1895" w:type="dxa"/>
            <w:tcBorders>
              <w:top w:val="nil"/>
              <w:bottom w:val="nil"/>
            </w:tcBorders>
            <w:shd w:val="clear" w:color="auto" w:fill="auto"/>
          </w:tcPr>
          <w:p w14:paraId="0F06053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1183760D" w14:textId="77777777" w:rsidTr="002B0F75">
        <w:trPr>
          <w:trHeight w:val="173"/>
        </w:trPr>
        <w:tc>
          <w:tcPr>
            <w:tcW w:w="1525" w:type="dxa"/>
            <w:tcBorders>
              <w:top w:val="nil"/>
              <w:bottom w:val="nil"/>
            </w:tcBorders>
            <w:shd w:val="clear" w:color="auto" w:fill="auto"/>
          </w:tcPr>
          <w:p w14:paraId="34503DC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lastRenderedPageBreak/>
              <w:t>Nygaard et al. 2019</w:t>
            </w:r>
          </w:p>
        </w:tc>
        <w:tc>
          <w:tcPr>
            <w:tcW w:w="810" w:type="dxa"/>
            <w:tcBorders>
              <w:top w:val="nil"/>
              <w:bottom w:val="nil"/>
            </w:tcBorders>
            <w:shd w:val="clear" w:color="auto" w:fill="auto"/>
          </w:tcPr>
          <w:p w14:paraId="055FC01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March 2015- Nov 2016</w:t>
            </w:r>
          </w:p>
        </w:tc>
        <w:tc>
          <w:tcPr>
            <w:tcW w:w="1800" w:type="dxa"/>
            <w:tcBorders>
              <w:top w:val="nil"/>
              <w:bottom w:val="nil"/>
            </w:tcBorders>
            <w:shd w:val="clear" w:color="auto" w:fill="auto"/>
          </w:tcPr>
          <w:p w14:paraId="4559B57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NRS, HSCL</w:t>
            </w:r>
          </w:p>
        </w:tc>
        <w:tc>
          <w:tcPr>
            <w:tcW w:w="1170" w:type="dxa"/>
            <w:tcBorders>
              <w:top w:val="nil"/>
              <w:bottom w:val="nil"/>
            </w:tcBorders>
            <w:shd w:val="clear" w:color="auto" w:fill="auto"/>
          </w:tcPr>
          <w:p w14:paraId="1D9327B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38</w:t>
            </w:r>
          </w:p>
        </w:tc>
        <w:tc>
          <w:tcPr>
            <w:tcW w:w="2610" w:type="dxa"/>
            <w:tcBorders>
              <w:top w:val="nil"/>
              <w:bottom w:val="nil"/>
            </w:tcBorders>
            <w:shd w:val="clear" w:color="auto" w:fill="auto"/>
          </w:tcPr>
          <w:p w14:paraId="3166712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phycological and sexual abuse: 39</w:t>
            </w:r>
          </w:p>
        </w:tc>
        <w:tc>
          <w:tcPr>
            <w:tcW w:w="2070" w:type="dxa"/>
            <w:gridSpan w:val="2"/>
            <w:tcBorders>
              <w:top w:val="nil"/>
              <w:bottom w:val="nil"/>
            </w:tcBorders>
          </w:tcPr>
          <w:p w14:paraId="420F42A0"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(back, headache, etc.), chronic pelvic pain</w:t>
            </w:r>
          </w:p>
        </w:tc>
        <w:tc>
          <w:tcPr>
            <w:tcW w:w="1800" w:type="dxa"/>
            <w:tcBorders>
              <w:top w:val="nil"/>
              <w:bottom w:val="nil"/>
            </w:tcBorders>
            <w:shd w:val="clear" w:color="auto" w:fill="auto"/>
          </w:tcPr>
          <w:p w14:paraId="5E7BD814"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95" w:type="dxa"/>
            <w:tcBorders>
              <w:top w:val="nil"/>
              <w:bottom w:val="nil"/>
            </w:tcBorders>
            <w:shd w:val="clear" w:color="auto" w:fill="auto"/>
          </w:tcPr>
          <w:p w14:paraId="501D5CF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71EEE218" w14:textId="77777777" w:rsidTr="002B0F75">
        <w:trPr>
          <w:trHeight w:val="173"/>
        </w:trPr>
        <w:tc>
          <w:tcPr>
            <w:tcW w:w="1525" w:type="dxa"/>
            <w:tcBorders>
              <w:top w:val="nil"/>
              <w:bottom w:val="nil"/>
            </w:tcBorders>
            <w:shd w:val="clear" w:color="auto" w:fill="auto"/>
          </w:tcPr>
          <w:p w14:paraId="7B5484CB"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Ottenhoff</w:t>
            </w:r>
            <w:proofErr w:type="spellEnd"/>
            <w:r w:rsidRPr="00CD2F5C">
              <w:rPr>
                <w:rFonts w:ascii="Cambria" w:hAnsi="Cambria" w:cstheme="minorHAnsi"/>
                <w:sz w:val="24"/>
                <w:szCs w:val="24"/>
              </w:rPr>
              <w:t xml:space="preserve"> et al. 2019</w:t>
            </w:r>
          </w:p>
        </w:tc>
        <w:tc>
          <w:tcPr>
            <w:tcW w:w="810" w:type="dxa"/>
            <w:tcBorders>
              <w:top w:val="nil"/>
              <w:bottom w:val="nil"/>
            </w:tcBorders>
            <w:shd w:val="clear" w:color="auto" w:fill="auto"/>
          </w:tcPr>
          <w:p w14:paraId="7477692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Nov 7-Nov 20, 2017</w:t>
            </w:r>
          </w:p>
        </w:tc>
        <w:tc>
          <w:tcPr>
            <w:tcW w:w="1800" w:type="dxa"/>
            <w:tcBorders>
              <w:top w:val="nil"/>
              <w:bottom w:val="nil"/>
            </w:tcBorders>
            <w:shd w:val="clear" w:color="auto" w:fill="auto"/>
          </w:tcPr>
          <w:p w14:paraId="240A4F3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ACE scale, SHAI-5, PCS-4 </w:t>
            </w:r>
          </w:p>
        </w:tc>
        <w:tc>
          <w:tcPr>
            <w:tcW w:w="1170" w:type="dxa"/>
            <w:tcBorders>
              <w:top w:val="nil"/>
              <w:bottom w:val="nil"/>
            </w:tcBorders>
            <w:shd w:val="clear" w:color="auto" w:fill="auto"/>
          </w:tcPr>
          <w:p w14:paraId="3A8CEA0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51</w:t>
            </w:r>
          </w:p>
        </w:tc>
        <w:tc>
          <w:tcPr>
            <w:tcW w:w="2610" w:type="dxa"/>
            <w:tcBorders>
              <w:top w:val="nil"/>
              <w:bottom w:val="nil"/>
            </w:tcBorders>
            <w:shd w:val="clear" w:color="auto" w:fill="auto"/>
          </w:tcPr>
          <w:p w14:paraId="4AFB2FF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Amongst cases: 24</w:t>
            </w:r>
          </w:p>
        </w:tc>
        <w:tc>
          <w:tcPr>
            <w:tcW w:w="2070" w:type="dxa"/>
            <w:gridSpan w:val="2"/>
            <w:tcBorders>
              <w:top w:val="nil"/>
              <w:bottom w:val="nil"/>
            </w:tcBorders>
          </w:tcPr>
          <w:p w14:paraId="216AEDC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intensity</w:t>
            </w:r>
          </w:p>
        </w:tc>
        <w:tc>
          <w:tcPr>
            <w:tcW w:w="1800" w:type="dxa"/>
            <w:tcBorders>
              <w:top w:val="nil"/>
              <w:bottom w:val="nil"/>
            </w:tcBorders>
            <w:shd w:val="clear" w:color="auto" w:fill="auto"/>
          </w:tcPr>
          <w:p w14:paraId="1E30616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No association</w:t>
            </w:r>
          </w:p>
        </w:tc>
        <w:tc>
          <w:tcPr>
            <w:tcW w:w="1895" w:type="dxa"/>
            <w:tcBorders>
              <w:top w:val="nil"/>
              <w:bottom w:val="nil"/>
            </w:tcBorders>
            <w:shd w:val="clear" w:color="auto" w:fill="auto"/>
          </w:tcPr>
          <w:p w14:paraId="4115872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7EA49B0E" w14:textId="77777777" w:rsidTr="002B0F75">
        <w:trPr>
          <w:trHeight w:val="173"/>
        </w:trPr>
        <w:tc>
          <w:tcPr>
            <w:tcW w:w="1525" w:type="dxa"/>
            <w:tcBorders>
              <w:top w:val="nil"/>
              <w:bottom w:val="nil"/>
            </w:tcBorders>
            <w:shd w:val="clear" w:color="auto" w:fill="auto"/>
          </w:tcPr>
          <w:p w14:paraId="7464A761"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Piontek et al. 2021</w:t>
            </w:r>
          </w:p>
        </w:tc>
        <w:tc>
          <w:tcPr>
            <w:tcW w:w="810" w:type="dxa"/>
            <w:tcBorders>
              <w:top w:val="nil"/>
              <w:bottom w:val="nil"/>
            </w:tcBorders>
            <w:shd w:val="clear" w:color="auto" w:fill="auto"/>
          </w:tcPr>
          <w:p w14:paraId="54762D6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June 2012-July 2017</w:t>
            </w:r>
          </w:p>
        </w:tc>
        <w:tc>
          <w:tcPr>
            <w:tcW w:w="1800" w:type="dxa"/>
            <w:tcBorders>
              <w:top w:val="nil"/>
              <w:bottom w:val="nil"/>
            </w:tcBorders>
            <w:shd w:val="clear" w:color="auto" w:fill="auto"/>
          </w:tcPr>
          <w:p w14:paraId="54B870F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ACE Scale, MPQ, GAD</w:t>
            </w:r>
          </w:p>
        </w:tc>
        <w:tc>
          <w:tcPr>
            <w:tcW w:w="1170" w:type="dxa"/>
            <w:tcBorders>
              <w:top w:val="nil"/>
              <w:bottom w:val="nil"/>
            </w:tcBorders>
            <w:shd w:val="clear" w:color="auto" w:fill="auto"/>
          </w:tcPr>
          <w:p w14:paraId="42D224B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47.92</w:t>
            </w:r>
          </w:p>
        </w:tc>
        <w:tc>
          <w:tcPr>
            <w:tcW w:w="2610" w:type="dxa"/>
            <w:tcBorders>
              <w:top w:val="nil"/>
              <w:bottom w:val="nil"/>
            </w:tcBorders>
            <w:shd w:val="clear" w:color="auto" w:fill="auto"/>
          </w:tcPr>
          <w:p w14:paraId="12D880A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Emotional abuse:19.65, Physical abuse: 13.10, sexual abuse:8.73, emotional neglect: 18.34, physical neglect: 4.7, divorce: 20.09, mother treated violently: 6.99, substance abuse in household: 12.66, mental illness: 19.65, </w:t>
            </w:r>
            <w:r w:rsidRPr="00CD2F5C">
              <w:rPr>
                <w:rFonts w:ascii="Cambria" w:hAnsi="Cambria" w:cstheme="minorHAnsi"/>
                <w:sz w:val="24"/>
                <w:szCs w:val="24"/>
              </w:rPr>
              <w:lastRenderedPageBreak/>
              <w:t>incarcerated household: 1.31</w:t>
            </w:r>
          </w:p>
        </w:tc>
        <w:tc>
          <w:tcPr>
            <w:tcW w:w="2070" w:type="dxa"/>
            <w:gridSpan w:val="2"/>
            <w:tcBorders>
              <w:top w:val="nil"/>
              <w:bottom w:val="nil"/>
            </w:tcBorders>
          </w:tcPr>
          <w:p w14:paraId="16CBD179"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lastRenderedPageBreak/>
              <w:t>Chronic pelvic pain syndrome</w:t>
            </w:r>
          </w:p>
        </w:tc>
        <w:tc>
          <w:tcPr>
            <w:tcW w:w="1800" w:type="dxa"/>
            <w:tcBorders>
              <w:top w:val="nil"/>
              <w:bottom w:val="nil"/>
            </w:tcBorders>
            <w:shd w:val="clear" w:color="auto" w:fill="auto"/>
          </w:tcPr>
          <w:p w14:paraId="242FC3C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5776ABA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528ACBF3" w14:textId="77777777" w:rsidTr="002B0F75">
        <w:trPr>
          <w:trHeight w:val="173"/>
        </w:trPr>
        <w:tc>
          <w:tcPr>
            <w:tcW w:w="1525" w:type="dxa"/>
            <w:tcBorders>
              <w:top w:val="nil"/>
              <w:bottom w:val="nil"/>
            </w:tcBorders>
            <w:shd w:val="clear" w:color="auto" w:fill="auto"/>
          </w:tcPr>
          <w:p w14:paraId="0BDD636C"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Poli-Neto et al. 2018</w:t>
            </w:r>
          </w:p>
        </w:tc>
        <w:tc>
          <w:tcPr>
            <w:tcW w:w="810" w:type="dxa"/>
            <w:tcBorders>
              <w:top w:val="nil"/>
              <w:bottom w:val="nil"/>
            </w:tcBorders>
            <w:shd w:val="clear" w:color="auto" w:fill="auto"/>
          </w:tcPr>
          <w:p w14:paraId="473BD91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Feb 2012-Feb 2013</w:t>
            </w:r>
          </w:p>
        </w:tc>
        <w:tc>
          <w:tcPr>
            <w:tcW w:w="1800" w:type="dxa"/>
            <w:tcBorders>
              <w:top w:val="nil"/>
              <w:bottom w:val="nil"/>
            </w:tcBorders>
            <w:shd w:val="clear" w:color="auto" w:fill="auto"/>
          </w:tcPr>
          <w:p w14:paraId="5E04EDD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HADS, VAS</w:t>
            </w:r>
          </w:p>
        </w:tc>
        <w:tc>
          <w:tcPr>
            <w:tcW w:w="1170" w:type="dxa"/>
            <w:tcBorders>
              <w:top w:val="nil"/>
              <w:bottom w:val="nil"/>
            </w:tcBorders>
            <w:shd w:val="clear" w:color="auto" w:fill="auto"/>
          </w:tcPr>
          <w:p w14:paraId="7E248BA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38</w:t>
            </w:r>
          </w:p>
        </w:tc>
        <w:tc>
          <w:tcPr>
            <w:tcW w:w="2610" w:type="dxa"/>
            <w:tcBorders>
              <w:top w:val="nil"/>
              <w:bottom w:val="nil"/>
            </w:tcBorders>
            <w:shd w:val="clear" w:color="auto" w:fill="auto"/>
          </w:tcPr>
          <w:p w14:paraId="5B0E2A8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Childhood maltreatment: 77.9, emotional neglect: 58.4, multiple maltreatment: 18.2, physical neglect: 58.4, emotional abuse: 48 physical abuses: 45.4, sexual abuse: 29.9</w:t>
            </w:r>
          </w:p>
        </w:tc>
        <w:tc>
          <w:tcPr>
            <w:tcW w:w="2070" w:type="dxa"/>
            <w:gridSpan w:val="2"/>
            <w:tcBorders>
              <w:top w:val="nil"/>
              <w:bottom w:val="nil"/>
            </w:tcBorders>
          </w:tcPr>
          <w:p w14:paraId="49828B5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pelvic pain</w:t>
            </w:r>
          </w:p>
        </w:tc>
        <w:tc>
          <w:tcPr>
            <w:tcW w:w="1800" w:type="dxa"/>
            <w:tcBorders>
              <w:top w:val="nil"/>
              <w:bottom w:val="nil"/>
            </w:tcBorders>
            <w:shd w:val="clear" w:color="auto" w:fill="auto"/>
          </w:tcPr>
          <w:p w14:paraId="3028133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c>
          <w:tcPr>
            <w:tcW w:w="1895" w:type="dxa"/>
            <w:tcBorders>
              <w:top w:val="nil"/>
              <w:bottom w:val="nil"/>
            </w:tcBorders>
            <w:shd w:val="clear" w:color="auto" w:fill="auto"/>
          </w:tcPr>
          <w:p w14:paraId="0C7729C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r>
      <w:tr w:rsidR="001B256E" w:rsidRPr="00CD2F5C" w14:paraId="6233B3AD" w14:textId="77777777" w:rsidTr="002B0F75">
        <w:trPr>
          <w:trHeight w:val="173"/>
        </w:trPr>
        <w:tc>
          <w:tcPr>
            <w:tcW w:w="1525" w:type="dxa"/>
            <w:tcBorders>
              <w:top w:val="nil"/>
              <w:bottom w:val="nil"/>
            </w:tcBorders>
            <w:shd w:val="clear" w:color="auto" w:fill="auto"/>
          </w:tcPr>
          <w:p w14:paraId="31BF1181"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Sachs-Ericsson et al. 2017</w:t>
            </w:r>
          </w:p>
        </w:tc>
        <w:tc>
          <w:tcPr>
            <w:tcW w:w="810" w:type="dxa"/>
            <w:tcBorders>
              <w:top w:val="nil"/>
              <w:bottom w:val="nil"/>
            </w:tcBorders>
            <w:shd w:val="clear" w:color="auto" w:fill="auto"/>
          </w:tcPr>
          <w:p w14:paraId="0A0F4EB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1990</w:t>
            </w:r>
          </w:p>
        </w:tc>
        <w:tc>
          <w:tcPr>
            <w:tcW w:w="1800" w:type="dxa"/>
            <w:tcBorders>
              <w:top w:val="nil"/>
              <w:bottom w:val="nil"/>
            </w:tcBorders>
            <w:shd w:val="clear" w:color="auto" w:fill="auto"/>
          </w:tcPr>
          <w:p w14:paraId="084C907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NCS</w:t>
            </w:r>
          </w:p>
        </w:tc>
        <w:tc>
          <w:tcPr>
            <w:tcW w:w="1170" w:type="dxa"/>
            <w:tcBorders>
              <w:top w:val="nil"/>
              <w:bottom w:val="nil"/>
            </w:tcBorders>
            <w:shd w:val="clear" w:color="auto" w:fill="auto"/>
          </w:tcPr>
          <w:p w14:paraId="7C4DE21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43.03</w:t>
            </w:r>
          </w:p>
        </w:tc>
        <w:tc>
          <w:tcPr>
            <w:tcW w:w="2610" w:type="dxa"/>
            <w:tcBorders>
              <w:top w:val="nil"/>
              <w:bottom w:val="nil"/>
            </w:tcBorders>
            <w:shd w:val="clear" w:color="auto" w:fill="auto"/>
          </w:tcPr>
          <w:p w14:paraId="52E8730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Early parental loss: 21.8, verbal abuse: 9.3, physical abuse: 2.9</w:t>
            </w:r>
          </w:p>
        </w:tc>
        <w:tc>
          <w:tcPr>
            <w:tcW w:w="2070" w:type="dxa"/>
            <w:gridSpan w:val="2"/>
            <w:tcBorders>
              <w:top w:val="nil"/>
              <w:bottom w:val="nil"/>
            </w:tcBorders>
          </w:tcPr>
          <w:p w14:paraId="3A920DE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conditions (arthritis/rheumatism, chronic back or neck problems, severe headaches, other)</w:t>
            </w:r>
          </w:p>
        </w:tc>
        <w:tc>
          <w:tcPr>
            <w:tcW w:w="1800" w:type="dxa"/>
            <w:tcBorders>
              <w:top w:val="nil"/>
              <w:bottom w:val="nil"/>
            </w:tcBorders>
            <w:shd w:val="clear" w:color="auto" w:fill="auto"/>
          </w:tcPr>
          <w:p w14:paraId="102BB3B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7799CBF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7EFF4E2E" w14:textId="77777777" w:rsidTr="002B0F75">
        <w:trPr>
          <w:trHeight w:val="173"/>
        </w:trPr>
        <w:tc>
          <w:tcPr>
            <w:tcW w:w="1525" w:type="dxa"/>
            <w:tcBorders>
              <w:top w:val="nil"/>
              <w:bottom w:val="nil"/>
            </w:tcBorders>
            <w:shd w:val="clear" w:color="auto" w:fill="auto"/>
          </w:tcPr>
          <w:p w14:paraId="7480DCF8" w14:textId="77777777" w:rsidR="001B256E" w:rsidRPr="00CD2F5C" w:rsidRDefault="001B256E" w:rsidP="002B0F75">
            <w:pPr>
              <w:tabs>
                <w:tab w:val="left" w:pos="1710"/>
              </w:tabs>
              <w:spacing w:line="360" w:lineRule="auto"/>
              <w:rPr>
                <w:rFonts w:ascii="Cambria" w:hAnsi="Cambria"/>
                <w:b/>
                <w:bCs/>
                <w:sz w:val="24"/>
                <w:szCs w:val="24"/>
              </w:rPr>
            </w:pPr>
            <w:proofErr w:type="spellStart"/>
            <w:r w:rsidRPr="00CD2F5C">
              <w:rPr>
                <w:rFonts w:ascii="Cambria" w:hAnsi="Cambria"/>
                <w:b/>
                <w:bCs/>
                <w:sz w:val="24"/>
                <w:szCs w:val="24"/>
              </w:rPr>
              <w:t>Schrepf</w:t>
            </w:r>
            <w:proofErr w:type="spellEnd"/>
            <w:r w:rsidRPr="00CD2F5C">
              <w:rPr>
                <w:rFonts w:ascii="Cambria" w:hAnsi="Cambria"/>
                <w:b/>
                <w:bCs/>
                <w:sz w:val="24"/>
                <w:szCs w:val="24"/>
              </w:rPr>
              <w:t xml:space="preserve"> et al. 2018</w:t>
            </w:r>
          </w:p>
        </w:tc>
        <w:tc>
          <w:tcPr>
            <w:tcW w:w="810" w:type="dxa"/>
            <w:tcBorders>
              <w:top w:val="nil"/>
              <w:bottom w:val="nil"/>
            </w:tcBorders>
            <w:shd w:val="clear" w:color="auto" w:fill="auto"/>
          </w:tcPr>
          <w:p w14:paraId="0EAA103B"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2D3D5DE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CTES, HADS</w:t>
            </w:r>
          </w:p>
        </w:tc>
        <w:tc>
          <w:tcPr>
            <w:tcW w:w="1170" w:type="dxa"/>
            <w:tcBorders>
              <w:top w:val="nil"/>
              <w:bottom w:val="nil"/>
            </w:tcBorders>
            <w:shd w:val="clear" w:color="auto" w:fill="auto"/>
          </w:tcPr>
          <w:p w14:paraId="2648692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43</w:t>
            </w:r>
          </w:p>
        </w:tc>
        <w:tc>
          <w:tcPr>
            <w:tcW w:w="2610" w:type="dxa"/>
            <w:tcBorders>
              <w:top w:val="nil"/>
              <w:bottom w:val="nil"/>
            </w:tcBorders>
            <w:shd w:val="clear" w:color="auto" w:fill="auto"/>
          </w:tcPr>
          <w:p w14:paraId="42F67E7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Death of family member: 50, Divorce: 30, Traumatic sexual experience: 20, victim </w:t>
            </w:r>
            <w:r w:rsidRPr="00CD2F5C">
              <w:rPr>
                <w:rFonts w:ascii="Cambria" w:hAnsi="Cambria" w:cstheme="minorHAnsi"/>
                <w:sz w:val="24"/>
                <w:szCs w:val="24"/>
              </w:rPr>
              <w:lastRenderedPageBreak/>
              <w:t>of violence: 15, injured: 20, other trauma: 34</w:t>
            </w:r>
          </w:p>
        </w:tc>
        <w:tc>
          <w:tcPr>
            <w:tcW w:w="2070" w:type="dxa"/>
            <w:gridSpan w:val="2"/>
            <w:tcBorders>
              <w:top w:val="nil"/>
              <w:bottom w:val="nil"/>
            </w:tcBorders>
          </w:tcPr>
          <w:p w14:paraId="055D924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lastRenderedPageBreak/>
              <w:t xml:space="preserve">Urologic </w:t>
            </w:r>
          </w:p>
          <w:p w14:paraId="71C0ECAD"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pelvic pain syndrome</w:t>
            </w:r>
          </w:p>
        </w:tc>
        <w:tc>
          <w:tcPr>
            <w:tcW w:w="1800" w:type="dxa"/>
            <w:tcBorders>
              <w:top w:val="nil"/>
              <w:bottom w:val="nil"/>
            </w:tcBorders>
            <w:shd w:val="clear" w:color="auto" w:fill="auto"/>
          </w:tcPr>
          <w:p w14:paraId="1144AEF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12F93F5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r>
      <w:tr w:rsidR="001B256E" w:rsidRPr="00CD2F5C" w14:paraId="4742A03B" w14:textId="77777777" w:rsidTr="002B0F75">
        <w:trPr>
          <w:trHeight w:val="173"/>
        </w:trPr>
        <w:tc>
          <w:tcPr>
            <w:tcW w:w="1525" w:type="dxa"/>
            <w:tcBorders>
              <w:top w:val="nil"/>
              <w:bottom w:val="nil"/>
            </w:tcBorders>
            <w:shd w:val="clear" w:color="auto" w:fill="auto"/>
          </w:tcPr>
          <w:p w14:paraId="236744A8"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Scott et al. 2011</w:t>
            </w:r>
          </w:p>
        </w:tc>
        <w:tc>
          <w:tcPr>
            <w:tcW w:w="810" w:type="dxa"/>
            <w:tcBorders>
              <w:top w:val="nil"/>
              <w:bottom w:val="nil"/>
            </w:tcBorders>
            <w:shd w:val="clear" w:color="auto" w:fill="auto"/>
          </w:tcPr>
          <w:p w14:paraId="4BC1A3F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2001–2004</w:t>
            </w:r>
          </w:p>
        </w:tc>
        <w:tc>
          <w:tcPr>
            <w:tcW w:w="1800" w:type="dxa"/>
            <w:tcBorders>
              <w:top w:val="nil"/>
              <w:bottom w:val="nil"/>
            </w:tcBorders>
            <w:shd w:val="clear" w:color="auto" w:fill="auto"/>
          </w:tcPr>
          <w:p w14:paraId="5EBB364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WMH–CIDI</w:t>
            </w:r>
          </w:p>
        </w:tc>
        <w:tc>
          <w:tcPr>
            <w:tcW w:w="1170" w:type="dxa"/>
            <w:tcBorders>
              <w:top w:val="nil"/>
              <w:bottom w:val="nil"/>
            </w:tcBorders>
            <w:shd w:val="clear" w:color="auto" w:fill="auto"/>
          </w:tcPr>
          <w:p w14:paraId="4F1D566C"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610" w:type="dxa"/>
            <w:tcBorders>
              <w:top w:val="nil"/>
              <w:bottom w:val="nil"/>
            </w:tcBorders>
            <w:shd w:val="clear" w:color="auto" w:fill="auto"/>
          </w:tcPr>
          <w:p w14:paraId="33893BE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conditions (hazard ratios from 1.44–2.19)</w:t>
            </w:r>
          </w:p>
        </w:tc>
        <w:tc>
          <w:tcPr>
            <w:tcW w:w="2070" w:type="dxa"/>
            <w:gridSpan w:val="2"/>
            <w:tcBorders>
              <w:top w:val="nil"/>
              <w:bottom w:val="nil"/>
            </w:tcBorders>
          </w:tcPr>
          <w:p w14:paraId="32CC28D8"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Arthritis, chronic spinal pain, chronic headache</w:t>
            </w:r>
          </w:p>
        </w:tc>
        <w:tc>
          <w:tcPr>
            <w:tcW w:w="1800" w:type="dxa"/>
            <w:tcBorders>
              <w:top w:val="nil"/>
              <w:bottom w:val="nil"/>
            </w:tcBorders>
            <w:shd w:val="clear" w:color="auto" w:fill="auto"/>
          </w:tcPr>
          <w:p w14:paraId="5D47C01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24A0C8C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6FBC2818" w14:textId="77777777" w:rsidTr="002B0F75">
        <w:trPr>
          <w:trHeight w:val="173"/>
        </w:trPr>
        <w:tc>
          <w:tcPr>
            <w:tcW w:w="1525" w:type="dxa"/>
            <w:tcBorders>
              <w:top w:val="nil"/>
              <w:bottom w:val="nil"/>
            </w:tcBorders>
            <w:shd w:val="clear" w:color="auto" w:fill="auto"/>
          </w:tcPr>
          <w:p w14:paraId="6209C48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Sprang et al. 2020</w:t>
            </w:r>
          </w:p>
        </w:tc>
        <w:tc>
          <w:tcPr>
            <w:tcW w:w="810" w:type="dxa"/>
            <w:tcBorders>
              <w:top w:val="nil"/>
              <w:bottom w:val="nil"/>
            </w:tcBorders>
            <w:shd w:val="clear" w:color="auto" w:fill="auto"/>
          </w:tcPr>
          <w:p w14:paraId="2BC5921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2006-2014</w:t>
            </w:r>
          </w:p>
        </w:tc>
        <w:tc>
          <w:tcPr>
            <w:tcW w:w="1800" w:type="dxa"/>
            <w:tcBorders>
              <w:top w:val="nil"/>
              <w:bottom w:val="nil"/>
            </w:tcBorders>
            <w:shd w:val="clear" w:color="auto" w:fill="auto"/>
          </w:tcPr>
          <w:p w14:paraId="5582396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KWHR</w:t>
            </w:r>
          </w:p>
        </w:tc>
        <w:tc>
          <w:tcPr>
            <w:tcW w:w="1170" w:type="dxa"/>
            <w:tcBorders>
              <w:top w:val="nil"/>
              <w:bottom w:val="nil"/>
            </w:tcBorders>
            <w:shd w:val="clear" w:color="auto" w:fill="auto"/>
          </w:tcPr>
          <w:p w14:paraId="7FE1BF7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36.5</w:t>
            </w:r>
          </w:p>
        </w:tc>
        <w:tc>
          <w:tcPr>
            <w:tcW w:w="2610" w:type="dxa"/>
            <w:tcBorders>
              <w:top w:val="nil"/>
              <w:bottom w:val="nil"/>
            </w:tcBorders>
            <w:shd w:val="clear" w:color="auto" w:fill="auto"/>
          </w:tcPr>
          <w:p w14:paraId="127C4E1F"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abuse: 8.7, sexual abuse:3.2, physical and sexual abuse: 4.7, Intimate partner violence: 51</w:t>
            </w:r>
          </w:p>
        </w:tc>
        <w:tc>
          <w:tcPr>
            <w:tcW w:w="2070" w:type="dxa"/>
            <w:gridSpan w:val="2"/>
            <w:tcBorders>
              <w:top w:val="nil"/>
              <w:bottom w:val="nil"/>
            </w:tcBorders>
          </w:tcPr>
          <w:p w14:paraId="45CDACCA"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w:t>
            </w:r>
          </w:p>
        </w:tc>
        <w:tc>
          <w:tcPr>
            <w:tcW w:w="1800" w:type="dxa"/>
            <w:tcBorders>
              <w:top w:val="nil"/>
              <w:bottom w:val="nil"/>
            </w:tcBorders>
            <w:shd w:val="clear" w:color="auto" w:fill="auto"/>
          </w:tcPr>
          <w:p w14:paraId="7E6A9DB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5B30871C"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52B80DA6" w14:textId="77777777" w:rsidTr="002B0F75">
        <w:trPr>
          <w:trHeight w:val="173"/>
        </w:trPr>
        <w:tc>
          <w:tcPr>
            <w:tcW w:w="1525" w:type="dxa"/>
            <w:tcBorders>
              <w:top w:val="nil"/>
              <w:bottom w:val="nil"/>
            </w:tcBorders>
            <w:shd w:val="clear" w:color="auto" w:fill="auto"/>
          </w:tcPr>
          <w:p w14:paraId="205B0247"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Tietjen 2009c</w:t>
            </w:r>
          </w:p>
        </w:tc>
        <w:tc>
          <w:tcPr>
            <w:tcW w:w="810" w:type="dxa"/>
            <w:tcBorders>
              <w:top w:val="nil"/>
              <w:bottom w:val="nil"/>
            </w:tcBorders>
            <w:shd w:val="clear" w:color="auto" w:fill="auto"/>
          </w:tcPr>
          <w:p w14:paraId="5E73247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Feb 2006-June 2008</w:t>
            </w:r>
          </w:p>
        </w:tc>
        <w:tc>
          <w:tcPr>
            <w:tcW w:w="1800" w:type="dxa"/>
            <w:tcBorders>
              <w:top w:val="nil"/>
              <w:bottom w:val="nil"/>
            </w:tcBorders>
            <w:shd w:val="clear" w:color="auto" w:fill="auto"/>
          </w:tcPr>
          <w:p w14:paraId="024A34A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HIT-6, BAI</w:t>
            </w:r>
          </w:p>
        </w:tc>
        <w:tc>
          <w:tcPr>
            <w:tcW w:w="1170" w:type="dxa"/>
            <w:tcBorders>
              <w:top w:val="nil"/>
              <w:bottom w:val="nil"/>
            </w:tcBorders>
            <w:shd w:val="clear" w:color="auto" w:fill="auto"/>
          </w:tcPr>
          <w:p w14:paraId="73D1F10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41</w:t>
            </w:r>
          </w:p>
        </w:tc>
        <w:tc>
          <w:tcPr>
            <w:tcW w:w="2610" w:type="dxa"/>
            <w:tcBorders>
              <w:top w:val="nil"/>
              <w:bottom w:val="nil"/>
            </w:tcBorders>
            <w:shd w:val="clear" w:color="auto" w:fill="auto"/>
          </w:tcPr>
          <w:p w14:paraId="5819ADD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 38, physical neglect: 22, emotional abuse: 38, physical abuse: 21, sexual abuse: 25</w:t>
            </w:r>
          </w:p>
        </w:tc>
        <w:tc>
          <w:tcPr>
            <w:tcW w:w="2070" w:type="dxa"/>
            <w:gridSpan w:val="2"/>
            <w:tcBorders>
              <w:top w:val="nil"/>
              <w:bottom w:val="nil"/>
            </w:tcBorders>
          </w:tcPr>
          <w:p w14:paraId="6C2FA091"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Migraine or chronic headache</w:t>
            </w:r>
          </w:p>
        </w:tc>
        <w:tc>
          <w:tcPr>
            <w:tcW w:w="1800" w:type="dxa"/>
            <w:tcBorders>
              <w:top w:val="nil"/>
              <w:bottom w:val="nil"/>
            </w:tcBorders>
            <w:shd w:val="clear" w:color="auto" w:fill="auto"/>
          </w:tcPr>
          <w:p w14:paraId="7A2FDE1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1968560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14F6C028" w14:textId="77777777" w:rsidTr="002B0F75">
        <w:trPr>
          <w:trHeight w:val="1422"/>
        </w:trPr>
        <w:tc>
          <w:tcPr>
            <w:tcW w:w="1525" w:type="dxa"/>
            <w:tcBorders>
              <w:top w:val="nil"/>
              <w:bottom w:val="nil"/>
            </w:tcBorders>
            <w:shd w:val="clear" w:color="auto" w:fill="auto"/>
          </w:tcPr>
          <w:p w14:paraId="79F0765D"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Tietjen et al. 2009</w:t>
            </w:r>
          </w:p>
        </w:tc>
        <w:tc>
          <w:tcPr>
            <w:tcW w:w="810" w:type="dxa"/>
            <w:tcBorders>
              <w:top w:val="nil"/>
              <w:bottom w:val="nil"/>
            </w:tcBorders>
            <w:shd w:val="clear" w:color="auto" w:fill="auto"/>
          </w:tcPr>
          <w:p w14:paraId="18F9BE8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Feb 2006-June 2008</w:t>
            </w:r>
          </w:p>
        </w:tc>
        <w:tc>
          <w:tcPr>
            <w:tcW w:w="1800" w:type="dxa"/>
            <w:tcBorders>
              <w:top w:val="nil"/>
              <w:bottom w:val="nil"/>
            </w:tcBorders>
            <w:shd w:val="clear" w:color="auto" w:fill="auto"/>
          </w:tcPr>
          <w:p w14:paraId="40100F4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PHQ, BAI</w:t>
            </w:r>
          </w:p>
        </w:tc>
        <w:tc>
          <w:tcPr>
            <w:tcW w:w="1170" w:type="dxa"/>
            <w:tcBorders>
              <w:top w:val="nil"/>
              <w:bottom w:val="nil"/>
            </w:tcBorders>
            <w:shd w:val="clear" w:color="auto" w:fill="auto"/>
          </w:tcPr>
          <w:p w14:paraId="4327BBE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41</w:t>
            </w:r>
          </w:p>
        </w:tc>
        <w:tc>
          <w:tcPr>
            <w:tcW w:w="2610" w:type="dxa"/>
            <w:tcBorders>
              <w:top w:val="nil"/>
              <w:bottom w:val="nil"/>
            </w:tcBorders>
            <w:shd w:val="clear" w:color="auto" w:fill="auto"/>
          </w:tcPr>
          <w:p w14:paraId="6660C9A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 38, physical neglect: 22, emotional abuse: 38, physical abuse: 21, sexual abuse: 25</w:t>
            </w:r>
          </w:p>
        </w:tc>
        <w:tc>
          <w:tcPr>
            <w:tcW w:w="2070" w:type="dxa"/>
            <w:gridSpan w:val="2"/>
            <w:tcBorders>
              <w:top w:val="nil"/>
              <w:bottom w:val="nil"/>
            </w:tcBorders>
          </w:tcPr>
          <w:p w14:paraId="2A254771"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 xml:space="preserve">Migraine, chronic pain conditions (IBS, fibromyalgia, interstitial cystitis, arthritis, </w:t>
            </w:r>
            <w:r w:rsidRPr="00CD2F5C">
              <w:rPr>
                <w:rFonts w:ascii="Cambria" w:hAnsi="Cambria"/>
                <w:sz w:val="24"/>
                <w:szCs w:val="24"/>
              </w:rPr>
              <w:lastRenderedPageBreak/>
              <w:t>endometriosis, uterine fibroids</w:t>
            </w:r>
          </w:p>
        </w:tc>
        <w:tc>
          <w:tcPr>
            <w:tcW w:w="1800" w:type="dxa"/>
            <w:tcBorders>
              <w:top w:val="nil"/>
              <w:bottom w:val="nil"/>
            </w:tcBorders>
            <w:shd w:val="clear" w:color="auto" w:fill="auto"/>
          </w:tcPr>
          <w:p w14:paraId="733274D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lastRenderedPageBreak/>
              <w:t>Strong</w:t>
            </w:r>
          </w:p>
        </w:tc>
        <w:tc>
          <w:tcPr>
            <w:tcW w:w="1895" w:type="dxa"/>
            <w:tcBorders>
              <w:top w:val="nil"/>
              <w:bottom w:val="nil"/>
            </w:tcBorders>
            <w:shd w:val="clear" w:color="auto" w:fill="auto"/>
          </w:tcPr>
          <w:p w14:paraId="71BA590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6FE139AE" w14:textId="77777777" w:rsidTr="002B0F75">
        <w:trPr>
          <w:trHeight w:val="173"/>
        </w:trPr>
        <w:tc>
          <w:tcPr>
            <w:tcW w:w="1525" w:type="dxa"/>
            <w:tcBorders>
              <w:top w:val="nil"/>
              <w:bottom w:val="nil"/>
            </w:tcBorders>
            <w:shd w:val="clear" w:color="auto" w:fill="auto"/>
          </w:tcPr>
          <w:p w14:paraId="59368B2F"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Tietjen et al. 2009b</w:t>
            </w:r>
          </w:p>
        </w:tc>
        <w:tc>
          <w:tcPr>
            <w:tcW w:w="810" w:type="dxa"/>
            <w:tcBorders>
              <w:top w:val="nil"/>
              <w:bottom w:val="nil"/>
            </w:tcBorders>
            <w:shd w:val="clear" w:color="auto" w:fill="auto"/>
          </w:tcPr>
          <w:p w14:paraId="1C865CF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Feb 2006-June 2008</w:t>
            </w:r>
          </w:p>
        </w:tc>
        <w:tc>
          <w:tcPr>
            <w:tcW w:w="1800" w:type="dxa"/>
            <w:tcBorders>
              <w:top w:val="nil"/>
              <w:bottom w:val="nil"/>
            </w:tcBorders>
            <w:shd w:val="clear" w:color="auto" w:fill="auto"/>
          </w:tcPr>
          <w:p w14:paraId="69A885B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PHQ, BAI</w:t>
            </w:r>
          </w:p>
        </w:tc>
        <w:tc>
          <w:tcPr>
            <w:tcW w:w="1170" w:type="dxa"/>
            <w:tcBorders>
              <w:top w:val="nil"/>
              <w:bottom w:val="nil"/>
            </w:tcBorders>
            <w:shd w:val="clear" w:color="auto" w:fill="auto"/>
          </w:tcPr>
          <w:p w14:paraId="011E49C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41.05</w:t>
            </w:r>
          </w:p>
        </w:tc>
        <w:tc>
          <w:tcPr>
            <w:tcW w:w="2610" w:type="dxa"/>
            <w:tcBorders>
              <w:top w:val="nil"/>
              <w:bottom w:val="nil"/>
            </w:tcBorders>
            <w:shd w:val="clear" w:color="auto" w:fill="auto"/>
          </w:tcPr>
          <w:p w14:paraId="0200DC5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 38, physical neglect: 22, emotional abuse: 38, physical abuse: 21, sexual abuse: 25</w:t>
            </w:r>
          </w:p>
        </w:tc>
        <w:tc>
          <w:tcPr>
            <w:tcW w:w="2070" w:type="dxa"/>
            <w:gridSpan w:val="2"/>
            <w:tcBorders>
              <w:top w:val="nil"/>
              <w:bottom w:val="nil"/>
            </w:tcBorders>
          </w:tcPr>
          <w:p w14:paraId="7610C96B"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Migraine</w:t>
            </w:r>
          </w:p>
        </w:tc>
        <w:tc>
          <w:tcPr>
            <w:tcW w:w="1800" w:type="dxa"/>
            <w:tcBorders>
              <w:top w:val="nil"/>
              <w:bottom w:val="nil"/>
            </w:tcBorders>
            <w:shd w:val="clear" w:color="auto" w:fill="auto"/>
          </w:tcPr>
          <w:p w14:paraId="7D0C09D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51E240E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0E37F602" w14:textId="77777777" w:rsidTr="002B0F75">
        <w:trPr>
          <w:trHeight w:val="173"/>
        </w:trPr>
        <w:tc>
          <w:tcPr>
            <w:tcW w:w="1525" w:type="dxa"/>
            <w:tcBorders>
              <w:top w:val="nil"/>
              <w:bottom w:val="nil"/>
            </w:tcBorders>
            <w:shd w:val="clear" w:color="auto" w:fill="auto"/>
          </w:tcPr>
          <w:p w14:paraId="2E6EBEE6"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Tietjen et al. 2015</w:t>
            </w:r>
          </w:p>
        </w:tc>
        <w:tc>
          <w:tcPr>
            <w:tcW w:w="810" w:type="dxa"/>
            <w:tcBorders>
              <w:top w:val="nil"/>
              <w:bottom w:val="nil"/>
            </w:tcBorders>
            <w:shd w:val="clear" w:color="auto" w:fill="auto"/>
          </w:tcPr>
          <w:p w14:paraId="699E4C9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2005-2009</w:t>
            </w:r>
          </w:p>
        </w:tc>
        <w:tc>
          <w:tcPr>
            <w:tcW w:w="1800" w:type="dxa"/>
            <w:tcBorders>
              <w:top w:val="nil"/>
              <w:bottom w:val="nil"/>
            </w:tcBorders>
            <w:shd w:val="clear" w:color="auto" w:fill="auto"/>
          </w:tcPr>
          <w:p w14:paraId="78EDA1F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Patient Health Questionnaire,2</w:t>
            </w:r>
          </w:p>
        </w:tc>
        <w:tc>
          <w:tcPr>
            <w:tcW w:w="1170" w:type="dxa"/>
            <w:tcBorders>
              <w:top w:val="nil"/>
              <w:bottom w:val="nil"/>
            </w:tcBorders>
            <w:shd w:val="clear" w:color="auto" w:fill="auto"/>
          </w:tcPr>
          <w:p w14:paraId="4F6C2BE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54.4</w:t>
            </w:r>
          </w:p>
        </w:tc>
        <w:tc>
          <w:tcPr>
            <w:tcW w:w="2610" w:type="dxa"/>
            <w:tcBorders>
              <w:top w:val="nil"/>
              <w:bottom w:val="nil"/>
            </w:tcBorders>
            <w:shd w:val="clear" w:color="auto" w:fill="auto"/>
          </w:tcPr>
          <w:p w14:paraId="03DDBB7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Emotional neglect:24.5, emotional abuse: 22.5, sexual abuse: 17.7</w:t>
            </w:r>
          </w:p>
        </w:tc>
        <w:tc>
          <w:tcPr>
            <w:tcW w:w="2070" w:type="dxa"/>
            <w:gridSpan w:val="2"/>
            <w:tcBorders>
              <w:top w:val="nil"/>
              <w:bottom w:val="nil"/>
            </w:tcBorders>
          </w:tcPr>
          <w:p w14:paraId="6C6D05E3"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Migraine, episodic tension-type headache</w:t>
            </w:r>
          </w:p>
        </w:tc>
        <w:tc>
          <w:tcPr>
            <w:tcW w:w="1800" w:type="dxa"/>
            <w:tcBorders>
              <w:top w:val="nil"/>
              <w:bottom w:val="nil"/>
            </w:tcBorders>
            <w:shd w:val="clear" w:color="auto" w:fill="auto"/>
          </w:tcPr>
          <w:p w14:paraId="2D87D0E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4E64DB2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r w:rsidR="001B256E" w:rsidRPr="00CD2F5C" w14:paraId="4E52BAC4" w14:textId="77777777" w:rsidTr="002B0F75">
        <w:trPr>
          <w:trHeight w:val="173"/>
        </w:trPr>
        <w:tc>
          <w:tcPr>
            <w:tcW w:w="1525" w:type="dxa"/>
            <w:tcBorders>
              <w:top w:val="nil"/>
              <w:bottom w:val="nil"/>
            </w:tcBorders>
            <w:shd w:val="clear" w:color="auto" w:fill="auto"/>
          </w:tcPr>
          <w:p w14:paraId="13E55CDB"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Tietjen et al. 2017</w:t>
            </w:r>
          </w:p>
        </w:tc>
        <w:tc>
          <w:tcPr>
            <w:tcW w:w="810" w:type="dxa"/>
            <w:tcBorders>
              <w:top w:val="nil"/>
              <w:bottom w:val="nil"/>
            </w:tcBorders>
            <w:shd w:val="clear" w:color="auto" w:fill="auto"/>
          </w:tcPr>
          <w:p w14:paraId="612804E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May-Dec 1995</w:t>
            </w:r>
          </w:p>
        </w:tc>
        <w:tc>
          <w:tcPr>
            <w:tcW w:w="1800" w:type="dxa"/>
            <w:tcBorders>
              <w:top w:val="nil"/>
              <w:bottom w:val="nil"/>
            </w:tcBorders>
            <w:shd w:val="clear" w:color="auto" w:fill="auto"/>
          </w:tcPr>
          <w:p w14:paraId="575075A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Self-reported clinical diagnoses of depression and anxiety</w:t>
            </w:r>
          </w:p>
        </w:tc>
        <w:tc>
          <w:tcPr>
            <w:tcW w:w="1170" w:type="dxa"/>
            <w:tcBorders>
              <w:top w:val="nil"/>
              <w:bottom w:val="nil"/>
            </w:tcBorders>
            <w:shd w:val="clear" w:color="auto" w:fill="auto"/>
          </w:tcPr>
          <w:p w14:paraId="44BF0EF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29.5</w:t>
            </w:r>
          </w:p>
        </w:tc>
        <w:tc>
          <w:tcPr>
            <w:tcW w:w="2610" w:type="dxa"/>
            <w:tcBorders>
              <w:top w:val="nil"/>
              <w:bottom w:val="nil"/>
            </w:tcBorders>
            <w:shd w:val="clear" w:color="auto" w:fill="auto"/>
          </w:tcPr>
          <w:p w14:paraId="70ADFE82"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Physical abuse: 22.4, emotional: 57.8, sexual abuse: 8.4</w:t>
            </w:r>
          </w:p>
        </w:tc>
        <w:tc>
          <w:tcPr>
            <w:tcW w:w="2070" w:type="dxa"/>
            <w:gridSpan w:val="2"/>
            <w:tcBorders>
              <w:top w:val="nil"/>
              <w:bottom w:val="nil"/>
            </w:tcBorders>
          </w:tcPr>
          <w:p w14:paraId="5E09A6D4"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Migraine</w:t>
            </w:r>
          </w:p>
        </w:tc>
        <w:tc>
          <w:tcPr>
            <w:tcW w:w="1800" w:type="dxa"/>
            <w:tcBorders>
              <w:top w:val="nil"/>
              <w:bottom w:val="nil"/>
            </w:tcBorders>
            <w:shd w:val="clear" w:color="auto" w:fill="auto"/>
          </w:tcPr>
          <w:p w14:paraId="3351F88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6AB8CB0E"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r>
      <w:tr w:rsidR="001B256E" w:rsidRPr="00CD2F5C" w14:paraId="69632D7F" w14:textId="77777777" w:rsidTr="002B0F75">
        <w:trPr>
          <w:trHeight w:val="173"/>
        </w:trPr>
        <w:tc>
          <w:tcPr>
            <w:tcW w:w="1525" w:type="dxa"/>
            <w:tcBorders>
              <w:top w:val="nil"/>
              <w:bottom w:val="nil"/>
            </w:tcBorders>
            <w:shd w:val="clear" w:color="auto" w:fill="auto"/>
          </w:tcPr>
          <w:p w14:paraId="56D3D382"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Von Korff et al. 2009</w:t>
            </w:r>
          </w:p>
        </w:tc>
        <w:tc>
          <w:tcPr>
            <w:tcW w:w="810" w:type="dxa"/>
            <w:tcBorders>
              <w:top w:val="nil"/>
              <w:bottom w:val="nil"/>
            </w:tcBorders>
            <w:shd w:val="clear" w:color="auto" w:fill="auto"/>
          </w:tcPr>
          <w:p w14:paraId="1766080F"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404FD52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Conflict Tactics Scale</w:t>
            </w:r>
          </w:p>
        </w:tc>
        <w:tc>
          <w:tcPr>
            <w:tcW w:w="1170" w:type="dxa"/>
            <w:tcBorders>
              <w:top w:val="nil"/>
              <w:bottom w:val="nil"/>
            </w:tcBorders>
            <w:shd w:val="clear" w:color="auto" w:fill="auto"/>
          </w:tcPr>
          <w:p w14:paraId="51B131B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45.5</w:t>
            </w:r>
          </w:p>
        </w:tc>
        <w:tc>
          <w:tcPr>
            <w:tcW w:w="2610" w:type="dxa"/>
            <w:tcBorders>
              <w:top w:val="nil"/>
              <w:bottom w:val="nil"/>
            </w:tcBorders>
            <w:shd w:val="clear" w:color="auto" w:fill="auto"/>
          </w:tcPr>
          <w:p w14:paraId="15CD906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Death of parent: 12.8, parental divorce: 9.8, physical abuse: 9.6, family violence: 9.4</w:t>
            </w:r>
          </w:p>
        </w:tc>
        <w:tc>
          <w:tcPr>
            <w:tcW w:w="2070" w:type="dxa"/>
            <w:gridSpan w:val="2"/>
            <w:tcBorders>
              <w:top w:val="nil"/>
              <w:bottom w:val="nil"/>
            </w:tcBorders>
          </w:tcPr>
          <w:p w14:paraId="0A288A9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condition: arthritis</w:t>
            </w:r>
          </w:p>
        </w:tc>
        <w:tc>
          <w:tcPr>
            <w:tcW w:w="1800" w:type="dxa"/>
            <w:tcBorders>
              <w:top w:val="nil"/>
              <w:bottom w:val="nil"/>
            </w:tcBorders>
            <w:shd w:val="clear" w:color="auto" w:fill="auto"/>
          </w:tcPr>
          <w:p w14:paraId="505A9DC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F638E9F"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031BFA69" w14:textId="77777777" w:rsidTr="002B0F75">
        <w:trPr>
          <w:trHeight w:val="173"/>
        </w:trPr>
        <w:tc>
          <w:tcPr>
            <w:tcW w:w="1525" w:type="dxa"/>
            <w:tcBorders>
              <w:top w:val="nil"/>
              <w:bottom w:val="nil"/>
            </w:tcBorders>
            <w:shd w:val="clear" w:color="auto" w:fill="auto"/>
          </w:tcPr>
          <w:p w14:paraId="1CD542C5"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lastRenderedPageBreak/>
              <w:t>Williams et al. 2019</w:t>
            </w:r>
          </w:p>
        </w:tc>
        <w:tc>
          <w:tcPr>
            <w:tcW w:w="810" w:type="dxa"/>
            <w:tcBorders>
              <w:top w:val="nil"/>
              <w:bottom w:val="nil"/>
            </w:tcBorders>
            <w:shd w:val="clear" w:color="auto" w:fill="auto"/>
          </w:tcPr>
          <w:p w14:paraId="3C6F4D0B"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14EB71CB"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ACE, GAD‐7, SF‐12</w:t>
            </w:r>
          </w:p>
        </w:tc>
        <w:tc>
          <w:tcPr>
            <w:tcW w:w="1170" w:type="dxa"/>
            <w:tcBorders>
              <w:top w:val="nil"/>
              <w:bottom w:val="nil"/>
            </w:tcBorders>
            <w:shd w:val="clear" w:color="auto" w:fill="auto"/>
          </w:tcPr>
          <w:p w14:paraId="27794793"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610" w:type="dxa"/>
            <w:tcBorders>
              <w:top w:val="nil"/>
              <w:bottom w:val="nil"/>
            </w:tcBorders>
            <w:shd w:val="clear" w:color="auto" w:fill="auto"/>
          </w:tcPr>
          <w:p w14:paraId="72BB892C"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070" w:type="dxa"/>
            <w:gridSpan w:val="2"/>
            <w:tcBorders>
              <w:top w:val="nil"/>
              <w:bottom w:val="nil"/>
            </w:tcBorders>
          </w:tcPr>
          <w:p w14:paraId="1F8A54B9"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Pain level</w:t>
            </w:r>
          </w:p>
        </w:tc>
        <w:tc>
          <w:tcPr>
            <w:tcW w:w="1800" w:type="dxa"/>
            <w:tcBorders>
              <w:top w:val="nil"/>
              <w:bottom w:val="nil"/>
            </w:tcBorders>
            <w:shd w:val="clear" w:color="auto" w:fill="auto"/>
          </w:tcPr>
          <w:p w14:paraId="18E0FAE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c>
          <w:tcPr>
            <w:tcW w:w="1895" w:type="dxa"/>
            <w:tcBorders>
              <w:top w:val="nil"/>
              <w:bottom w:val="nil"/>
            </w:tcBorders>
            <w:shd w:val="clear" w:color="auto" w:fill="auto"/>
          </w:tcPr>
          <w:p w14:paraId="0A0529A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Moderate</w:t>
            </w:r>
          </w:p>
        </w:tc>
      </w:tr>
      <w:tr w:rsidR="001B256E" w:rsidRPr="00CD2F5C" w14:paraId="3E154C36" w14:textId="77777777" w:rsidTr="002B0F75">
        <w:trPr>
          <w:trHeight w:val="504"/>
        </w:trPr>
        <w:tc>
          <w:tcPr>
            <w:tcW w:w="1525" w:type="dxa"/>
            <w:tcBorders>
              <w:top w:val="nil"/>
              <w:bottom w:val="nil"/>
            </w:tcBorders>
            <w:shd w:val="clear" w:color="auto" w:fill="auto"/>
          </w:tcPr>
          <w:p w14:paraId="63624298"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Yeung et al. 2016</w:t>
            </w:r>
          </w:p>
        </w:tc>
        <w:tc>
          <w:tcPr>
            <w:tcW w:w="810" w:type="dxa"/>
            <w:tcBorders>
              <w:top w:val="nil"/>
              <w:bottom w:val="nil"/>
            </w:tcBorders>
            <w:shd w:val="clear" w:color="auto" w:fill="auto"/>
          </w:tcPr>
          <w:p w14:paraId="4BA1A0C1"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12A0ED4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CTQ, MHI</w:t>
            </w:r>
          </w:p>
        </w:tc>
        <w:tc>
          <w:tcPr>
            <w:tcW w:w="1170" w:type="dxa"/>
            <w:tcBorders>
              <w:top w:val="nil"/>
              <w:bottom w:val="nil"/>
            </w:tcBorders>
            <w:shd w:val="clear" w:color="auto" w:fill="auto"/>
          </w:tcPr>
          <w:p w14:paraId="42BC46A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51.83</w:t>
            </w:r>
          </w:p>
        </w:tc>
        <w:tc>
          <w:tcPr>
            <w:tcW w:w="2610" w:type="dxa"/>
            <w:tcBorders>
              <w:top w:val="nil"/>
              <w:bottom w:val="nil"/>
            </w:tcBorders>
            <w:shd w:val="clear" w:color="auto" w:fill="auto"/>
          </w:tcPr>
          <w:p w14:paraId="4BEEC6BD"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070" w:type="dxa"/>
            <w:gridSpan w:val="2"/>
            <w:tcBorders>
              <w:top w:val="nil"/>
              <w:bottom w:val="nil"/>
            </w:tcBorders>
          </w:tcPr>
          <w:p w14:paraId="224B0D3D"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Fibromyalgia, daily pain level</w:t>
            </w:r>
          </w:p>
        </w:tc>
        <w:tc>
          <w:tcPr>
            <w:tcW w:w="1800" w:type="dxa"/>
            <w:tcBorders>
              <w:top w:val="nil"/>
              <w:bottom w:val="nil"/>
            </w:tcBorders>
            <w:shd w:val="clear" w:color="auto" w:fill="auto"/>
          </w:tcPr>
          <w:p w14:paraId="3447A910"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3C2DA4BA"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No association</w:t>
            </w:r>
          </w:p>
        </w:tc>
      </w:tr>
      <w:tr w:rsidR="001B256E" w:rsidRPr="00CD2F5C" w14:paraId="1DFD25CF" w14:textId="77777777" w:rsidTr="002B0F75">
        <w:trPr>
          <w:trHeight w:val="173"/>
        </w:trPr>
        <w:tc>
          <w:tcPr>
            <w:tcW w:w="1525" w:type="dxa"/>
            <w:tcBorders>
              <w:top w:val="nil"/>
              <w:bottom w:val="nil"/>
            </w:tcBorders>
            <w:shd w:val="clear" w:color="auto" w:fill="auto"/>
          </w:tcPr>
          <w:p w14:paraId="521988E3"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You et al. 2019</w:t>
            </w:r>
          </w:p>
        </w:tc>
        <w:tc>
          <w:tcPr>
            <w:tcW w:w="810" w:type="dxa"/>
            <w:tcBorders>
              <w:top w:val="nil"/>
              <w:bottom w:val="nil"/>
            </w:tcBorders>
            <w:shd w:val="clear" w:color="auto" w:fill="auto"/>
          </w:tcPr>
          <w:p w14:paraId="38A53B1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Sep 2012-April 2015</w:t>
            </w:r>
          </w:p>
        </w:tc>
        <w:tc>
          <w:tcPr>
            <w:tcW w:w="1800" w:type="dxa"/>
            <w:tcBorders>
              <w:top w:val="nil"/>
              <w:bottom w:val="nil"/>
            </w:tcBorders>
            <w:shd w:val="clear" w:color="auto" w:fill="auto"/>
          </w:tcPr>
          <w:p w14:paraId="35D7C368"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ETISR questionnaire</w:t>
            </w:r>
          </w:p>
        </w:tc>
        <w:tc>
          <w:tcPr>
            <w:tcW w:w="1170" w:type="dxa"/>
            <w:tcBorders>
              <w:top w:val="nil"/>
              <w:bottom w:val="nil"/>
            </w:tcBorders>
            <w:shd w:val="clear" w:color="auto" w:fill="auto"/>
          </w:tcPr>
          <w:p w14:paraId="31704A8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18.8</w:t>
            </w:r>
          </w:p>
        </w:tc>
        <w:tc>
          <w:tcPr>
            <w:tcW w:w="2610" w:type="dxa"/>
            <w:tcBorders>
              <w:top w:val="nil"/>
              <w:bottom w:val="nil"/>
            </w:tcBorders>
            <w:shd w:val="clear" w:color="auto" w:fill="auto"/>
          </w:tcPr>
          <w:p w14:paraId="3BE78CB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General: 78, physical: 73, emotional: 44, sexual: 20</w:t>
            </w:r>
          </w:p>
        </w:tc>
        <w:tc>
          <w:tcPr>
            <w:tcW w:w="2070" w:type="dxa"/>
            <w:gridSpan w:val="2"/>
            <w:tcBorders>
              <w:top w:val="nil"/>
              <w:bottom w:val="nil"/>
            </w:tcBorders>
          </w:tcPr>
          <w:p w14:paraId="3D0DE507"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chronic back pain,</w:t>
            </w:r>
          </w:p>
          <w:p w14:paraId="59181F40"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headache, dysmenorrhea</w:t>
            </w:r>
          </w:p>
        </w:tc>
        <w:tc>
          <w:tcPr>
            <w:tcW w:w="1800" w:type="dxa"/>
            <w:tcBorders>
              <w:top w:val="nil"/>
              <w:bottom w:val="nil"/>
            </w:tcBorders>
            <w:shd w:val="clear" w:color="auto" w:fill="auto"/>
          </w:tcPr>
          <w:p w14:paraId="0D73AEB3"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bottom w:val="nil"/>
            </w:tcBorders>
            <w:shd w:val="clear" w:color="auto" w:fill="auto"/>
          </w:tcPr>
          <w:p w14:paraId="2A01B15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r>
      <w:tr w:rsidR="001B256E" w:rsidRPr="00CD2F5C" w14:paraId="02DF871E" w14:textId="77777777" w:rsidTr="002B0F75">
        <w:trPr>
          <w:trHeight w:val="173"/>
        </w:trPr>
        <w:tc>
          <w:tcPr>
            <w:tcW w:w="1525" w:type="dxa"/>
            <w:tcBorders>
              <w:top w:val="nil"/>
              <w:bottom w:val="nil"/>
            </w:tcBorders>
            <w:shd w:val="clear" w:color="auto" w:fill="auto"/>
          </w:tcPr>
          <w:p w14:paraId="13A0297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Yücel et al. 2002</w:t>
            </w:r>
          </w:p>
        </w:tc>
        <w:tc>
          <w:tcPr>
            <w:tcW w:w="810" w:type="dxa"/>
            <w:tcBorders>
              <w:top w:val="nil"/>
              <w:bottom w:val="nil"/>
            </w:tcBorders>
            <w:shd w:val="clear" w:color="auto" w:fill="auto"/>
          </w:tcPr>
          <w:p w14:paraId="026303E9"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bottom w:val="nil"/>
            </w:tcBorders>
            <w:shd w:val="clear" w:color="auto" w:fill="auto"/>
          </w:tcPr>
          <w:p w14:paraId="2B99C109"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DES, SDQ, Childhood abuse and neglect questionnaire</w:t>
            </w:r>
          </w:p>
        </w:tc>
        <w:tc>
          <w:tcPr>
            <w:tcW w:w="1170" w:type="dxa"/>
            <w:tcBorders>
              <w:top w:val="nil"/>
              <w:bottom w:val="nil"/>
            </w:tcBorders>
            <w:shd w:val="clear" w:color="auto" w:fill="auto"/>
          </w:tcPr>
          <w:p w14:paraId="448F4360"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2610" w:type="dxa"/>
            <w:tcBorders>
              <w:top w:val="nil"/>
              <w:bottom w:val="nil"/>
            </w:tcBorders>
            <w:shd w:val="clear" w:color="auto" w:fill="auto"/>
          </w:tcPr>
          <w:p w14:paraId="471880D5"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History of abuse: 9.58, history of neglect: 11.47</w:t>
            </w:r>
          </w:p>
        </w:tc>
        <w:tc>
          <w:tcPr>
            <w:tcW w:w="2070" w:type="dxa"/>
            <w:gridSpan w:val="2"/>
            <w:tcBorders>
              <w:top w:val="nil"/>
              <w:bottom w:val="nil"/>
            </w:tcBorders>
          </w:tcPr>
          <w:p w14:paraId="121345BF"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t>Chronic pain: headache, low back</w:t>
            </w:r>
          </w:p>
        </w:tc>
        <w:tc>
          <w:tcPr>
            <w:tcW w:w="1800" w:type="dxa"/>
            <w:tcBorders>
              <w:top w:val="nil"/>
              <w:bottom w:val="nil"/>
            </w:tcBorders>
            <w:shd w:val="clear" w:color="auto" w:fill="auto"/>
          </w:tcPr>
          <w:p w14:paraId="0867661D"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Weak</w:t>
            </w:r>
          </w:p>
        </w:tc>
        <w:tc>
          <w:tcPr>
            <w:tcW w:w="1895" w:type="dxa"/>
            <w:tcBorders>
              <w:top w:val="nil"/>
              <w:bottom w:val="nil"/>
            </w:tcBorders>
            <w:shd w:val="clear" w:color="auto" w:fill="auto"/>
          </w:tcPr>
          <w:p w14:paraId="01C52315"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r>
      <w:tr w:rsidR="001B256E" w:rsidRPr="00CD2F5C" w14:paraId="64A6A445" w14:textId="77777777" w:rsidTr="002B0F75">
        <w:trPr>
          <w:trHeight w:val="173"/>
        </w:trPr>
        <w:tc>
          <w:tcPr>
            <w:tcW w:w="1525" w:type="dxa"/>
            <w:tcBorders>
              <w:top w:val="nil"/>
            </w:tcBorders>
            <w:shd w:val="clear" w:color="auto" w:fill="auto"/>
          </w:tcPr>
          <w:p w14:paraId="544F3D00" w14:textId="77777777" w:rsidR="001B256E" w:rsidRPr="00CD2F5C" w:rsidRDefault="001B256E" w:rsidP="002B0F75">
            <w:pPr>
              <w:tabs>
                <w:tab w:val="left" w:pos="1710"/>
              </w:tabs>
              <w:spacing w:line="360" w:lineRule="auto"/>
              <w:rPr>
                <w:rFonts w:ascii="Cambria" w:hAnsi="Cambria"/>
                <w:b/>
                <w:bCs/>
                <w:sz w:val="24"/>
                <w:szCs w:val="24"/>
              </w:rPr>
            </w:pPr>
            <w:r w:rsidRPr="00CD2F5C">
              <w:rPr>
                <w:rFonts w:ascii="Cambria" w:hAnsi="Cambria"/>
                <w:b/>
                <w:bCs/>
                <w:sz w:val="24"/>
                <w:szCs w:val="24"/>
              </w:rPr>
              <w:t>Zlotnick et al. 2017</w:t>
            </w:r>
          </w:p>
        </w:tc>
        <w:tc>
          <w:tcPr>
            <w:tcW w:w="810" w:type="dxa"/>
            <w:tcBorders>
              <w:top w:val="nil"/>
            </w:tcBorders>
            <w:shd w:val="clear" w:color="auto" w:fill="auto"/>
          </w:tcPr>
          <w:p w14:paraId="7EE41530" w14:textId="77777777" w:rsidR="001B256E" w:rsidRPr="00CD2F5C" w:rsidRDefault="001B256E" w:rsidP="002B0F75">
            <w:pPr>
              <w:tabs>
                <w:tab w:val="left" w:pos="1710"/>
              </w:tabs>
              <w:spacing w:line="360" w:lineRule="auto"/>
              <w:rPr>
                <w:rFonts w:ascii="Cambria" w:hAnsi="Cambria" w:cstheme="minorHAnsi"/>
                <w:sz w:val="24"/>
                <w:szCs w:val="24"/>
              </w:rPr>
            </w:pPr>
            <w:proofErr w:type="spellStart"/>
            <w:r w:rsidRPr="00CD2F5C">
              <w:rPr>
                <w:rFonts w:ascii="Cambria" w:hAnsi="Cambria" w:cstheme="minorHAnsi"/>
                <w:sz w:val="24"/>
                <w:szCs w:val="24"/>
              </w:rPr>
              <w:t>n.m</w:t>
            </w:r>
            <w:proofErr w:type="spellEnd"/>
          </w:p>
        </w:tc>
        <w:tc>
          <w:tcPr>
            <w:tcW w:w="1800" w:type="dxa"/>
            <w:tcBorders>
              <w:top w:val="nil"/>
            </w:tcBorders>
            <w:shd w:val="clear" w:color="auto" w:fill="auto"/>
          </w:tcPr>
          <w:p w14:paraId="0F0DD617"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ACE-IQ, STAI</w:t>
            </w:r>
          </w:p>
        </w:tc>
        <w:tc>
          <w:tcPr>
            <w:tcW w:w="1170" w:type="dxa"/>
            <w:tcBorders>
              <w:top w:val="nil"/>
            </w:tcBorders>
            <w:shd w:val="clear" w:color="auto" w:fill="auto"/>
          </w:tcPr>
          <w:p w14:paraId="20DAE961"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43.21</w:t>
            </w:r>
          </w:p>
        </w:tc>
        <w:tc>
          <w:tcPr>
            <w:tcW w:w="2610" w:type="dxa"/>
            <w:tcBorders>
              <w:top w:val="nil"/>
            </w:tcBorders>
            <w:shd w:val="clear" w:color="auto" w:fill="auto"/>
          </w:tcPr>
          <w:p w14:paraId="0937EA7C"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 xml:space="preserve">Physical abuse: 53.3, Alcohol abuse: 60, Jailed person: 41.4, depressed person: 46.7, witnessed violence: 46.7, divorced: 13.3, </w:t>
            </w:r>
            <w:r w:rsidRPr="00CD2F5C">
              <w:rPr>
                <w:rFonts w:ascii="Cambria" w:hAnsi="Cambria" w:cstheme="minorHAnsi"/>
                <w:sz w:val="24"/>
                <w:szCs w:val="24"/>
              </w:rPr>
              <w:lastRenderedPageBreak/>
              <w:t>emotional neglect: 10, physical neglect: 6.7</w:t>
            </w:r>
          </w:p>
        </w:tc>
        <w:tc>
          <w:tcPr>
            <w:tcW w:w="2070" w:type="dxa"/>
            <w:gridSpan w:val="2"/>
            <w:tcBorders>
              <w:top w:val="nil"/>
            </w:tcBorders>
          </w:tcPr>
          <w:p w14:paraId="412B4C05" w14:textId="77777777" w:rsidR="001B256E" w:rsidRPr="00CD2F5C" w:rsidRDefault="001B256E" w:rsidP="002B0F75">
            <w:pPr>
              <w:tabs>
                <w:tab w:val="left" w:pos="1710"/>
              </w:tabs>
              <w:spacing w:line="360" w:lineRule="auto"/>
              <w:rPr>
                <w:rFonts w:ascii="Cambria" w:hAnsi="Cambria"/>
                <w:sz w:val="24"/>
                <w:szCs w:val="24"/>
              </w:rPr>
            </w:pPr>
            <w:r w:rsidRPr="00CD2F5C">
              <w:rPr>
                <w:rFonts w:ascii="Cambria" w:hAnsi="Cambria"/>
                <w:sz w:val="24"/>
                <w:szCs w:val="24"/>
              </w:rPr>
              <w:lastRenderedPageBreak/>
              <w:t>Pain level</w:t>
            </w:r>
          </w:p>
        </w:tc>
        <w:tc>
          <w:tcPr>
            <w:tcW w:w="1800" w:type="dxa"/>
            <w:tcBorders>
              <w:top w:val="nil"/>
            </w:tcBorders>
            <w:shd w:val="clear" w:color="auto" w:fill="auto"/>
          </w:tcPr>
          <w:p w14:paraId="351045C4"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c>
          <w:tcPr>
            <w:tcW w:w="1895" w:type="dxa"/>
            <w:tcBorders>
              <w:top w:val="nil"/>
            </w:tcBorders>
            <w:shd w:val="clear" w:color="auto" w:fill="auto"/>
          </w:tcPr>
          <w:p w14:paraId="4C5143E6" w14:textId="77777777" w:rsidR="001B256E" w:rsidRPr="00CD2F5C" w:rsidRDefault="001B256E" w:rsidP="002B0F75">
            <w:pPr>
              <w:tabs>
                <w:tab w:val="left" w:pos="1710"/>
              </w:tabs>
              <w:spacing w:line="360" w:lineRule="auto"/>
              <w:rPr>
                <w:rFonts w:ascii="Cambria" w:hAnsi="Cambria" w:cstheme="minorHAnsi"/>
                <w:sz w:val="24"/>
                <w:szCs w:val="24"/>
              </w:rPr>
            </w:pPr>
            <w:r w:rsidRPr="00CD2F5C">
              <w:rPr>
                <w:rFonts w:ascii="Cambria" w:hAnsi="Cambria" w:cstheme="minorHAnsi"/>
                <w:sz w:val="24"/>
                <w:szCs w:val="24"/>
              </w:rPr>
              <w:t>Strong</w:t>
            </w:r>
          </w:p>
        </w:tc>
      </w:tr>
    </w:tbl>
    <w:p w14:paraId="0578D283" w14:textId="684ABEC3" w:rsidR="009832C0" w:rsidRPr="00CD2F5C" w:rsidRDefault="009832C0" w:rsidP="002B0F75">
      <w:pPr>
        <w:spacing w:line="360" w:lineRule="auto"/>
        <w:rPr>
          <w:rFonts w:ascii="Cambria" w:hAnsi="Cambria"/>
          <w:b/>
          <w:bCs/>
          <w:sz w:val="24"/>
          <w:szCs w:val="24"/>
        </w:rPr>
      </w:pPr>
    </w:p>
    <w:p w14:paraId="651E383C" w14:textId="77777777" w:rsidR="009832C0" w:rsidRPr="00CD2F5C" w:rsidRDefault="009832C0" w:rsidP="002B0F75">
      <w:pPr>
        <w:spacing w:line="360" w:lineRule="auto"/>
        <w:rPr>
          <w:rFonts w:ascii="Cambria" w:hAnsi="Cambria"/>
          <w:sz w:val="24"/>
          <w:szCs w:val="24"/>
        </w:rPr>
      </w:pPr>
    </w:p>
    <w:p w14:paraId="1977EF01" w14:textId="77777777" w:rsidR="001B256E" w:rsidRDefault="001B256E" w:rsidP="002B0F75">
      <w:pPr>
        <w:spacing w:line="360" w:lineRule="auto"/>
        <w:rPr>
          <w:rFonts w:ascii="Cambria" w:hAnsi="Cambria"/>
          <w:sz w:val="24"/>
          <w:szCs w:val="24"/>
        </w:rPr>
      </w:pPr>
    </w:p>
    <w:p w14:paraId="6AF9C908" w14:textId="77777777" w:rsidR="001B256E" w:rsidRDefault="001B256E" w:rsidP="002B0F75">
      <w:pPr>
        <w:spacing w:line="360" w:lineRule="auto"/>
        <w:rPr>
          <w:rFonts w:ascii="Cambria" w:hAnsi="Cambria"/>
          <w:sz w:val="24"/>
          <w:szCs w:val="24"/>
        </w:rPr>
      </w:pPr>
    </w:p>
    <w:p w14:paraId="4E8E7C0F" w14:textId="77777777" w:rsidR="001B256E" w:rsidRDefault="001B256E" w:rsidP="002B0F75">
      <w:pPr>
        <w:spacing w:line="360" w:lineRule="auto"/>
        <w:rPr>
          <w:rFonts w:ascii="Cambria" w:hAnsi="Cambria"/>
          <w:sz w:val="24"/>
          <w:szCs w:val="24"/>
        </w:rPr>
      </w:pPr>
    </w:p>
    <w:p w14:paraId="53603E05" w14:textId="6F52979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NB. ACE questionnaire (Adverse Childhood Experiences Questionnaire), ETISR (Early Traumatic Inventory Self-Report), BAI (Beck Anxiety Inventory), BDI (Beck Depression Inventory, CPG (Chronic Pain Grade), WMH–CIDI (World Mental Health Composite International Diagnostic Interview), NCS: (National Comorbidity Survey), CTES (The Childhood Traumatic Events Scale), HADS (Hospital Anxiety and Depression Scale), DAQ (Drossman Abuse Questionnaire), MPQ (McGill Pain Questionnaire), PCPT (Posttraumatic Chronic Pain Test), MHI (Mental Health Inventory – Anxiety subscale), PHQ (Patient Health Questionnaire), GUPI (Genitourinary Pain Index), SWEMEBS (Short Warwick-Edinburgh Mental Well-being Scale), GAD (Generalized Anxiety Disorder Scale), VAS (visual </w:t>
      </w:r>
      <w:proofErr w:type="spellStart"/>
      <w:r w:rsidRPr="00CD2F5C">
        <w:rPr>
          <w:rFonts w:ascii="Cambria" w:hAnsi="Cambria"/>
          <w:sz w:val="24"/>
          <w:szCs w:val="24"/>
        </w:rPr>
        <w:t>analog</w:t>
      </w:r>
      <w:proofErr w:type="spellEnd"/>
      <w:r w:rsidRPr="00CD2F5C">
        <w:rPr>
          <w:rFonts w:ascii="Cambria" w:hAnsi="Cambria"/>
          <w:sz w:val="24"/>
          <w:szCs w:val="24"/>
        </w:rPr>
        <w:t xml:space="preserve"> scale), MPI-D (Multidimensional pain questionnaire) , SES (pain perception scale), POLO (Polytrauma Outcome), STAI (Spielberger’s State Trait Anxiety Inventor), NPS (numeric pain scale), KWHR (The Kentucky Women’s Health Registry), BPI (Brief Pain Inventory), SPAHQ (Sexual-Physical Abuse History Questionnaire), PCS (Pain Catastrophizing Scale), CTQ-sf (Childhood Trauma Questionnaire-short form), NRS (Numerical Rating Scale), HSCL (Hopkins Symptom Checklist), PHQ (Patient Health Questionnaire), BAI (Beck Anxiety Inventory), DES (Dissociative Experiences Scale), SDQ (Somatoform Dissociation Questionnaire), HIT-6 (Headache Impact Test), VAMSTA (Veterans Affairs Military Stress Treatment Assessment), STAI-T (State Trait Anxiety Inventory), SHAI-5 (Short Health Anxiety </w:t>
      </w:r>
      <w:r w:rsidRPr="00CD2F5C">
        <w:rPr>
          <w:rFonts w:ascii="Cambria" w:hAnsi="Cambria"/>
          <w:sz w:val="24"/>
          <w:szCs w:val="24"/>
        </w:rPr>
        <w:lastRenderedPageBreak/>
        <w:t>Inventory), PCS (Pain Catastrophizing Scale short form), CTES (The Childhood Traumatic Events Scale), RTES (Recent Traumatic Events Scale). N m = not mentioned.</w:t>
      </w:r>
    </w:p>
    <w:p w14:paraId="2E38390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*Bolded studies indicate they looked at all 3 outcomes of interest according to the methodology (but not all reported results in full). </w:t>
      </w:r>
    </w:p>
    <w:p w14:paraId="3DF1B5DD" w14:textId="77777777" w:rsidR="009832C0" w:rsidRPr="00CD2F5C" w:rsidRDefault="009832C0" w:rsidP="002B0F75">
      <w:pPr>
        <w:spacing w:line="360" w:lineRule="auto"/>
        <w:rPr>
          <w:rFonts w:ascii="Cambria" w:hAnsi="Cambria"/>
          <w:b/>
          <w:bCs/>
          <w:sz w:val="24"/>
          <w:szCs w:val="24"/>
        </w:rPr>
      </w:pPr>
      <w:r w:rsidRPr="00CD2F5C">
        <w:rPr>
          <w:rFonts w:ascii="Cambria" w:hAnsi="Cambria"/>
          <w:sz w:val="24"/>
          <w:szCs w:val="24"/>
        </w:rPr>
        <w:t>**Trauma includes early life adversity (ELA), adverse childhood events (ACEs), childhood trauma, early life stress, etc. as applicable to any trauma or abuse prior to adulthood.</w:t>
      </w:r>
    </w:p>
    <w:p w14:paraId="60D3A604" w14:textId="77777777" w:rsidR="00A868FB" w:rsidRDefault="00A868FB" w:rsidP="002B0F75">
      <w:pPr>
        <w:spacing w:line="360" w:lineRule="auto"/>
        <w:rPr>
          <w:rFonts w:ascii="Cambria" w:hAnsi="Cambria"/>
          <w:sz w:val="24"/>
          <w:szCs w:val="24"/>
        </w:rPr>
        <w:sectPr w:rsidR="00A868FB" w:rsidSect="002B0F75">
          <w:pgSz w:w="15840" w:h="12240" w:orient="landscape"/>
          <w:pgMar w:top="1440" w:right="1440" w:bottom="1440" w:left="1440" w:header="720" w:footer="720" w:gutter="0"/>
          <w:cols w:space="720"/>
          <w:docGrid w:linePitch="360"/>
        </w:sectPr>
      </w:pPr>
      <w:bookmarkStart w:id="49" w:name="_Hlk145154843"/>
      <w:bookmarkStart w:id="50" w:name="_Hlk110078790"/>
    </w:p>
    <w:p w14:paraId="7CDAA8B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 xml:space="preserve">An analysis of the characteristics of reported abuse and prevalence are displayed in </w:t>
      </w:r>
      <w:r w:rsidRPr="00CD2F5C">
        <w:rPr>
          <w:rFonts w:ascii="Cambria" w:hAnsi="Cambria"/>
          <w:b/>
          <w:bCs/>
          <w:sz w:val="24"/>
          <w:szCs w:val="24"/>
        </w:rPr>
        <w:t>Figure 2</w:t>
      </w:r>
      <w:bookmarkStart w:id="51" w:name="_Hlk110088114"/>
      <w:r w:rsidRPr="00CD2F5C">
        <w:rPr>
          <w:rFonts w:ascii="Cambria" w:hAnsi="Cambria"/>
          <w:sz w:val="24"/>
          <w:szCs w:val="24"/>
        </w:rPr>
        <w:t>.</w:t>
      </w:r>
      <w:r w:rsidRPr="00CD2F5C">
        <w:rPr>
          <w:rFonts w:ascii="Cambria" w:hAnsi="Cambria"/>
          <w:b/>
          <w:bCs/>
          <w:sz w:val="24"/>
          <w:szCs w:val="24"/>
        </w:rPr>
        <w:t xml:space="preserve"> </w:t>
      </w:r>
      <w:bookmarkEnd w:id="49"/>
      <w:r w:rsidRPr="00CD2F5C">
        <w:rPr>
          <w:rFonts w:ascii="Cambria" w:hAnsi="Cambria"/>
          <w:sz w:val="24"/>
          <w:szCs w:val="24"/>
        </w:rPr>
        <w:t xml:space="preserve">Of the 52 studies, the majority (50%, SD 16.01) reported participants had experienced sexual abuse, violence, or trauma in childhood; prevalence was 20.8% among these participants. Physical abuse was reported in 46.2% (SD 20.68) of selected studies, with an average prevalence of 27% reported by participants. For emotional abuse, 33.4% (SD 17.17) of studies, with an average prevalence of 32.6%, were reported by participants. Emotional neglect was reported in 25% (SD 21.02) of selected studies, with an average prevalence of 32.2%. Physical neglect was measured in 23.1% (SD 22.44) of selected studies, with an average prevalence of 26.5% reported by participants. </w:t>
      </w:r>
      <w:bookmarkEnd w:id="51"/>
    </w:p>
    <w:p w14:paraId="6B874E9E"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Figure 2. Early life adversity experiences reported by participants (%)</w:t>
      </w:r>
    </w:p>
    <w:p w14:paraId="40DFF105" w14:textId="77777777" w:rsidR="009832C0" w:rsidRPr="00CD2F5C" w:rsidRDefault="009832C0" w:rsidP="002B0F75">
      <w:pPr>
        <w:spacing w:line="360" w:lineRule="auto"/>
        <w:rPr>
          <w:rFonts w:ascii="Cambria" w:hAnsi="Cambria"/>
          <w:b/>
          <w:bCs/>
          <w:sz w:val="24"/>
          <w:szCs w:val="24"/>
        </w:rPr>
      </w:pPr>
      <w:r w:rsidRPr="00CD2F5C">
        <w:rPr>
          <w:rFonts w:ascii="Cambria" w:hAnsi="Cambria"/>
          <w:noProof/>
          <w:sz w:val="24"/>
          <w:szCs w:val="24"/>
        </w:rPr>
        <w:drawing>
          <wp:inline distT="0" distB="0" distL="0" distR="0" wp14:anchorId="603BCCEF" wp14:editId="7131CDB4">
            <wp:extent cx="5454015" cy="29997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4015" cy="2999740"/>
                    </a:xfrm>
                    <a:prstGeom prst="rect">
                      <a:avLst/>
                    </a:prstGeom>
                    <a:noFill/>
                    <a:ln>
                      <a:noFill/>
                    </a:ln>
                  </pic:spPr>
                </pic:pic>
              </a:graphicData>
            </a:graphic>
          </wp:inline>
        </w:drawing>
      </w:r>
    </w:p>
    <w:p w14:paraId="6A2E1CC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DV, domestic violence.</w:t>
      </w:r>
    </w:p>
    <w:p w14:paraId="06125DC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Witnessing violence against others at home (including parental domestic violence) experienced in childhood was reported in 13.5% of selected studies, with an average prevalence of 38.6% reported by these participants. Death of a parent or family member experienced in childhood was measured in 11.5% (SD 17.09) of selected studies, with an average prevalence of 31.2% reported by participants. Addiction or substance abuse by </w:t>
      </w:r>
      <w:r w:rsidRPr="00CD2F5C">
        <w:rPr>
          <w:rFonts w:ascii="Cambria" w:hAnsi="Cambria"/>
          <w:sz w:val="24"/>
          <w:szCs w:val="24"/>
        </w:rPr>
        <w:lastRenderedPageBreak/>
        <w:t xml:space="preserve">parent/family was measured in 9.6% of selected studies, with an average prevalence of 29.3% reported by participants. </w:t>
      </w:r>
    </w:p>
    <w:bookmarkEnd w:id="50"/>
    <w:p w14:paraId="09A4553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 qualitative description of any associations between ACEs, anxiety, and chronic pain, and the strength of the reported association (strong, moderate, weak), was assigned based on the considerations described in the Methods. Of the selected studies, 41 (78.9%) had a moderate to strong association between ACEs and chronic pain. Eight studies had weak or no association (15.4%), and three did not have enough information to conclude or the study focus did not mention an association (5.8%).</w:t>
      </w:r>
    </w:p>
    <w:p w14:paraId="0065E21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Among the studies that associated anxiety and chronic pain without childhood adversity, nine had either a weak association or no association (17.3%), six had a moderate association (11.5%), and 22 had a strong association between anxiety and chronic pain (42.3%). The remainder did not have enough information to draw conclusions, or the study focus did not mention an association (28.9%).</w:t>
      </w:r>
    </w:p>
    <w:p w14:paraId="5FA06925" w14:textId="77777777" w:rsidR="009832C0" w:rsidRPr="00CD2F5C" w:rsidRDefault="009832C0" w:rsidP="002B0F75">
      <w:pPr>
        <w:spacing w:line="360" w:lineRule="auto"/>
        <w:rPr>
          <w:rFonts w:ascii="Cambria" w:hAnsi="Cambria"/>
          <w:b/>
          <w:bCs/>
          <w:sz w:val="24"/>
          <w:szCs w:val="24"/>
        </w:rPr>
      </w:pPr>
      <w:r w:rsidRPr="00CD2F5C">
        <w:rPr>
          <w:rFonts w:ascii="Cambria" w:hAnsi="Cambria"/>
          <w:i/>
          <w:iCs/>
          <w:sz w:val="24"/>
          <w:szCs w:val="24"/>
        </w:rPr>
        <w:t xml:space="preserve">Meta-analysis </w:t>
      </w:r>
    </w:p>
    <w:p w14:paraId="27EE9EE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meta-analysis assessed the different relationships between ACEs, anxiety, and their influence and/or relationship with chronic pain, across several studies. As mentioned above, some studies were included more than once, but whenever it was possible, the separated measures were manually summarized to produce effects more in line with the rest of the studies and reduce the lack of independence between effect sizes in the meta-analysis. In studies where several categories of these variables were reported separately, each subcategory was included as a separate effect size in the meta-analysis. </w:t>
      </w:r>
    </w:p>
    <w:p w14:paraId="085248A7"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 xml:space="preserve">Association between ACEs and pain </w:t>
      </w:r>
    </w:p>
    <w:p w14:paraId="57B9EE8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first meta-analysis (</w:t>
      </w:r>
      <w:r w:rsidRPr="00CD2F5C">
        <w:rPr>
          <w:rFonts w:ascii="Cambria" w:hAnsi="Cambria"/>
          <w:b/>
          <w:bCs/>
          <w:sz w:val="24"/>
          <w:szCs w:val="24"/>
        </w:rPr>
        <w:t>Figure 3</w:t>
      </w:r>
      <w:r w:rsidRPr="00CD2F5C">
        <w:rPr>
          <w:rFonts w:ascii="Cambria" w:hAnsi="Cambria"/>
          <w:sz w:val="24"/>
          <w:szCs w:val="24"/>
        </w:rPr>
        <w:t xml:space="preserve">) explored the odds ratios (ORs) influencing chronic pain (or a pain condition) from presence/absence of ACEs. A total of 25 subsamples from 11 studies were included (Brennenstuhl &amp; Fuller-Thomson 2015, Coles et al. 2015, Craner &amp; Lake 2021, Fowler et al. 2020, </w:t>
      </w:r>
      <w:proofErr w:type="spellStart"/>
      <w:r w:rsidRPr="00CD2F5C">
        <w:rPr>
          <w:rFonts w:ascii="Cambria" w:hAnsi="Cambria"/>
          <w:sz w:val="24"/>
          <w:szCs w:val="24"/>
        </w:rPr>
        <w:t>Generaal</w:t>
      </w:r>
      <w:proofErr w:type="spellEnd"/>
      <w:r w:rsidRPr="00CD2F5C">
        <w:rPr>
          <w:rFonts w:ascii="Cambria" w:hAnsi="Cambria"/>
          <w:sz w:val="24"/>
          <w:szCs w:val="24"/>
        </w:rPr>
        <w:t xml:space="preserve"> et al. 2016, </w:t>
      </w:r>
      <w:proofErr w:type="spellStart"/>
      <w:r w:rsidRPr="00CD2F5C">
        <w:rPr>
          <w:rFonts w:ascii="Cambria" w:hAnsi="Cambria"/>
          <w:sz w:val="24"/>
          <w:szCs w:val="24"/>
        </w:rPr>
        <w:t>Kascakova</w:t>
      </w:r>
      <w:proofErr w:type="spellEnd"/>
      <w:r w:rsidRPr="00CD2F5C">
        <w:rPr>
          <w:rFonts w:ascii="Cambria" w:hAnsi="Cambria"/>
          <w:sz w:val="24"/>
          <w:szCs w:val="24"/>
        </w:rPr>
        <w:t xml:space="preserve"> et al. 2020, Krantz et al. 2019, McCall-</w:t>
      </w:r>
      <w:proofErr w:type="spellStart"/>
      <w:r w:rsidRPr="00CD2F5C">
        <w:rPr>
          <w:rFonts w:ascii="Cambria" w:hAnsi="Cambria"/>
          <w:sz w:val="24"/>
          <w:szCs w:val="24"/>
        </w:rPr>
        <w:t>Hosenfield</w:t>
      </w:r>
      <w:proofErr w:type="spellEnd"/>
      <w:r w:rsidRPr="00CD2F5C">
        <w:rPr>
          <w:rFonts w:ascii="Cambria" w:hAnsi="Cambria"/>
          <w:sz w:val="24"/>
          <w:szCs w:val="24"/>
        </w:rPr>
        <w:t xml:space="preserve"> et al. 2014, Sprang et al. 2020, Tietjen et al. 2009, Tietjen et al. 2016), resulting in an overall effect of OR = 1.99 (95%CI= [1.53, 2.60], </w:t>
      </w:r>
      <w:r w:rsidRPr="00CD2F5C">
        <w:rPr>
          <w:rFonts w:ascii="Cambria" w:hAnsi="Cambria"/>
          <w:i/>
          <w:iCs/>
          <w:sz w:val="24"/>
          <w:szCs w:val="24"/>
        </w:rPr>
        <w:t>p</w:t>
      </w:r>
      <w:r w:rsidRPr="00CD2F5C">
        <w:rPr>
          <w:rFonts w:ascii="Cambria" w:hAnsi="Cambria"/>
          <w:sz w:val="24"/>
          <w:szCs w:val="24"/>
        </w:rPr>
        <w:t xml:space="preserve"> &lt; 0.01). This </w:t>
      </w:r>
      <w:r w:rsidRPr="00CD2F5C">
        <w:rPr>
          <w:rFonts w:ascii="Cambria" w:hAnsi="Cambria"/>
          <w:sz w:val="24"/>
          <w:szCs w:val="24"/>
        </w:rPr>
        <w:lastRenderedPageBreak/>
        <w:t>indicated that participants who experienced ACEs were almost twice as likely to present chronic pain during adulthood. It should be noted that this analysis presented the largest between-study heterogeneity (I</w:t>
      </w:r>
      <w:r w:rsidRPr="00CD2F5C">
        <w:rPr>
          <w:rFonts w:ascii="Cambria" w:hAnsi="Cambria"/>
          <w:sz w:val="24"/>
          <w:szCs w:val="24"/>
          <w:vertAlign w:val="superscript"/>
        </w:rPr>
        <w:t xml:space="preserve">2 </w:t>
      </w:r>
      <w:r w:rsidRPr="00CD2F5C">
        <w:rPr>
          <w:rFonts w:ascii="Cambria" w:hAnsi="Cambria"/>
          <w:sz w:val="24"/>
          <w:szCs w:val="24"/>
        </w:rPr>
        <w:t xml:space="preserve">= 93%, </w:t>
      </w:r>
      <w:r w:rsidRPr="00CD2F5C">
        <w:rPr>
          <w:rFonts w:ascii="Cambria" w:hAnsi="Cambria"/>
          <w:i/>
          <w:iCs/>
          <w:sz w:val="24"/>
          <w:szCs w:val="24"/>
        </w:rPr>
        <w:t>p</w:t>
      </w:r>
      <w:r w:rsidRPr="00CD2F5C">
        <w:rPr>
          <w:rFonts w:ascii="Cambria" w:hAnsi="Cambria"/>
          <w:sz w:val="24"/>
          <w:szCs w:val="24"/>
        </w:rPr>
        <w:t xml:space="preserve"> &lt; 0.01), reflecting the wide variety of pain conditions included across studies.</w:t>
      </w:r>
    </w:p>
    <w:p w14:paraId="12FFC1C7"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 xml:space="preserve">Figure 3. Likelihood of chronic pain presence in patients with ACEs compared to patients without ACEs  </w:t>
      </w:r>
    </w:p>
    <w:p w14:paraId="78B9ACE2"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drawing>
          <wp:inline distT="0" distB="0" distL="0" distR="0" wp14:anchorId="1EAD6D46" wp14:editId="7E45EC12">
            <wp:extent cx="5943600" cy="44606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460670"/>
                    </a:xfrm>
                    <a:prstGeom prst="rect">
                      <a:avLst/>
                    </a:prstGeom>
                    <a:noFill/>
                    <a:ln>
                      <a:noFill/>
                    </a:ln>
                  </pic:spPr>
                </pic:pic>
              </a:graphicData>
            </a:graphic>
          </wp:inline>
        </w:drawing>
      </w:r>
    </w:p>
    <w:p w14:paraId="062A3FC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 adverse childhood event; CI, confidence interval; OR, odds ratio; SE, standard error.</w:t>
      </w:r>
    </w:p>
    <w:p w14:paraId="1DDDA1D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Additionally, it was possible to conduct a correlation between the index of ACEs as reported by different scales, and the intensity of chronic pain observed in patients. </w:t>
      </w:r>
      <w:bookmarkStart w:id="52" w:name="_Hlk128250061"/>
      <w:r w:rsidRPr="00CD2F5C">
        <w:rPr>
          <w:rFonts w:ascii="Cambria" w:hAnsi="Cambria"/>
          <w:sz w:val="24"/>
          <w:szCs w:val="24"/>
        </w:rPr>
        <w:t xml:space="preserve">Pain intensity was measured either by self-report, or by records of the number of pain sites or chronic pain conditions. </w:t>
      </w:r>
      <w:bookmarkEnd w:id="52"/>
    </w:p>
    <w:p w14:paraId="5A977CB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A total of 15 different correlations were extracted from 13 studies (</w:t>
      </w:r>
      <w:proofErr w:type="spellStart"/>
      <w:r w:rsidRPr="00CD2F5C">
        <w:rPr>
          <w:rFonts w:ascii="Cambria" w:hAnsi="Cambria"/>
          <w:sz w:val="24"/>
          <w:szCs w:val="24"/>
        </w:rPr>
        <w:t>Alhalal</w:t>
      </w:r>
      <w:proofErr w:type="spellEnd"/>
      <w:r w:rsidRPr="00CD2F5C">
        <w:rPr>
          <w:rFonts w:ascii="Cambria" w:hAnsi="Cambria"/>
          <w:sz w:val="24"/>
          <w:szCs w:val="24"/>
        </w:rPr>
        <w:t xml:space="preserve"> et al. 2018, Brown et al. 2018, Corsini-Munt et al. 2017, Dennis et al. 2019, Kelly et al. 2011, Lai et al. 2016, Mehta et al. 2017, </w:t>
      </w:r>
      <w:proofErr w:type="spellStart"/>
      <w:r w:rsidRPr="00CD2F5C">
        <w:rPr>
          <w:rFonts w:ascii="Cambria" w:hAnsi="Cambria"/>
          <w:sz w:val="24"/>
          <w:szCs w:val="24"/>
        </w:rPr>
        <w:t>Ottenhoff</w:t>
      </w:r>
      <w:proofErr w:type="spellEnd"/>
      <w:r w:rsidRPr="00CD2F5C">
        <w:rPr>
          <w:rFonts w:ascii="Cambria" w:hAnsi="Cambria"/>
          <w:sz w:val="24"/>
          <w:szCs w:val="24"/>
        </w:rPr>
        <w:t xml:space="preserve"> et al. 2019, Piontek et al. 2021, Poli-Neto et al. 2018, </w:t>
      </w:r>
      <w:proofErr w:type="spellStart"/>
      <w:r w:rsidRPr="00CD2F5C">
        <w:rPr>
          <w:rFonts w:ascii="Cambria" w:hAnsi="Cambria"/>
          <w:sz w:val="24"/>
          <w:szCs w:val="24"/>
        </w:rPr>
        <w:t>Schrepf</w:t>
      </w:r>
      <w:proofErr w:type="spellEnd"/>
      <w:r w:rsidRPr="00CD2F5C">
        <w:rPr>
          <w:rFonts w:ascii="Cambria" w:hAnsi="Cambria"/>
          <w:sz w:val="24"/>
          <w:szCs w:val="24"/>
        </w:rPr>
        <w:t xml:space="preserve"> et al. 2018, Tietjen et al. 2009, Yeung et al. 2016), producing an overall correlation of </w:t>
      </w:r>
      <w:r w:rsidRPr="00CD2F5C">
        <w:rPr>
          <w:rFonts w:ascii="Cambria" w:hAnsi="Cambria"/>
          <w:i/>
          <w:iCs/>
          <w:sz w:val="24"/>
          <w:szCs w:val="24"/>
        </w:rPr>
        <w:t>r</w:t>
      </w:r>
      <w:r w:rsidRPr="00CD2F5C">
        <w:rPr>
          <w:rFonts w:ascii="Cambria" w:hAnsi="Cambria"/>
          <w:sz w:val="24"/>
          <w:szCs w:val="24"/>
        </w:rPr>
        <w:t xml:space="preserve"> = 0.17 (95%CI = [0.11, 0.23], </w:t>
      </w:r>
      <w:r w:rsidRPr="00CD2F5C">
        <w:rPr>
          <w:rFonts w:ascii="Cambria" w:hAnsi="Cambria"/>
          <w:i/>
          <w:iCs/>
          <w:sz w:val="24"/>
          <w:szCs w:val="24"/>
        </w:rPr>
        <w:t>p</w:t>
      </w:r>
      <w:r w:rsidRPr="00CD2F5C">
        <w:rPr>
          <w:rFonts w:ascii="Cambria" w:hAnsi="Cambria"/>
          <w:sz w:val="24"/>
          <w:szCs w:val="24"/>
        </w:rPr>
        <w:t xml:space="preserve"> &lt; 0.001). This indicated there was a small but significant positive association between the index of ACEs and the intensity of chronic pain conditions in adulthood (</w:t>
      </w:r>
      <w:r w:rsidRPr="00CD2F5C">
        <w:rPr>
          <w:rFonts w:ascii="Cambria" w:hAnsi="Cambria"/>
          <w:b/>
          <w:bCs/>
          <w:sz w:val="24"/>
          <w:szCs w:val="24"/>
        </w:rPr>
        <w:t>Figure 4</w:t>
      </w:r>
      <w:r w:rsidRPr="00CD2F5C">
        <w:rPr>
          <w:rFonts w:ascii="Cambria" w:hAnsi="Cambria"/>
          <w:sz w:val="24"/>
          <w:szCs w:val="24"/>
        </w:rPr>
        <w:t>), such that the experience of more ACEs related to greater pain intensity. The meta-analysis had a large between-study heterogeneity (</w:t>
      </w:r>
      <w:r w:rsidRPr="00CD2F5C">
        <w:rPr>
          <w:rFonts w:ascii="Cambria" w:hAnsi="Cambria"/>
          <w:i/>
          <w:iCs/>
          <w:sz w:val="24"/>
          <w:szCs w:val="24"/>
        </w:rPr>
        <w:t>I</w:t>
      </w:r>
      <w:r w:rsidRPr="00CD2F5C">
        <w:rPr>
          <w:rFonts w:ascii="Cambria" w:hAnsi="Cambria"/>
          <w:i/>
          <w:iCs/>
          <w:sz w:val="24"/>
          <w:szCs w:val="24"/>
          <w:vertAlign w:val="superscript"/>
        </w:rPr>
        <w:t>2</w:t>
      </w:r>
      <w:r w:rsidRPr="00CD2F5C">
        <w:rPr>
          <w:rFonts w:ascii="Cambria" w:hAnsi="Cambria"/>
          <w:i/>
          <w:iCs/>
          <w:sz w:val="24"/>
          <w:szCs w:val="24"/>
        </w:rPr>
        <w:t xml:space="preserve"> </w:t>
      </w:r>
      <w:r w:rsidRPr="00CD2F5C">
        <w:rPr>
          <w:rFonts w:ascii="Cambria" w:hAnsi="Cambria"/>
          <w:sz w:val="24"/>
          <w:szCs w:val="24"/>
        </w:rPr>
        <w:t xml:space="preserve">= 77%, </w:t>
      </w:r>
      <w:r w:rsidRPr="00CD2F5C">
        <w:rPr>
          <w:rFonts w:ascii="Cambria" w:hAnsi="Cambria"/>
          <w:i/>
          <w:iCs/>
          <w:sz w:val="24"/>
          <w:szCs w:val="24"/>
        </w:rPr>
        <w:t>p</w:t>
      </w:r>
      <w:r w:rsidRPr="00CD2F5C">
        <w:rPr>
          <w:rFonts w:ascii="Cambria" w:hAnsi="Cambria"/>
          <w:sz w:val="24"/>
          <w:szCs w:val="24"/>
        </w:rPr>
        <w:t xml:space="preserve"> &lt; 0.01).</w:t>
      </w:r>
    </w:p>
    <w:p w14:paraId="0097713D"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Figure 4. Association between ACEs and pain</w:t>
      </w:r>
    </w:p>
    <w:p w14:paraId="4CDFE9F5"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drawing>
          <wp:inline distT="0" distB="0" distL="0" distR="0" wp14:anchorId="5B7E5FFB" wp14:editId="1A34FA53">
            <wp:extent cx="5237480" cy="4283075"/>
            <wp:effectExtent l="0" t="0" r="127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7480" cy="4283075"/>
                    </a:xfrm>
                    <a:prstGeom prst="rect">
                      <a:avLst/>
                    </a:prstGeom>
                    <a:noFill/>
                    <a:ln>
                      <a:noFill/>
                    </a:ln>
                  </pic:spPr>
                </pic:pic>
              </a:graphicData>
            </a:graphic>
          </wp:inline>
        </w:drawing>
      </w:r>
    </w:p>
    <w:p w14:paraId="451F29B5" w14:textId="77777777" w:rsidR="009832C0" w:rsidRPr="00CD2F5C" w:rsidRDefault="009832C0" w:rsidP="002B0F75">
      <w:pPr>
        <w:spacing w:line="360" w:lineRule="auto"/>
        <w:rPr>
          <w:rFonts w:ascii="Cambria" w:hAnsi="Cambria"/>
          <w:b/>
          <w:bCs/>
          <w:sz w:val="24"/>
          <w:szCs w:val="24"/>
        </w:rPr>
      </w:pPr>
      <w:r w:rsidRPr="00CD2F5C">
        <w:rPr>
          <w:rFonts w:ascii="Cambria" w:hAnsi="Cambria"/>
          <w:sz w:val="24"/>
          <w:szCs w:val="24"/>
        </w:rPr>
        <w:t>ACE, adverse childhood event; CI, confidence interval; COR, correlation.</w:t>
      </w:r>
    </w:p>
    <w:p w14:paraId="578FD18E"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 xml:space="preserve">Association between anxiety and pain </w:t>
      </w:r>
    </w:p>
    <w:p w14:paraId="4367156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In assessing the association between anxiety and chronic pain, an OR meta-analysis was not possible using the available studies. However, a correlation meta-analysis was still achieved. As with the previous relationship, chronic pain intensity was measured using either self-reports of pain intensity, or the number of chronic pain conditions/pain sites reported. Anxiety, however, was measured using several standardized scales, including the HADS, GADS, and STAI.</w:t>
      </w:r>
    </w:p>
    <w:p w14:paraId="64AC913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As displayed in </w:t>
      </w:r>
      <w:r w:rsidRPr="00CD2F5C">
        <w:rPr>
          <w:rFonts w:ascii="Cambria" w:hAnsi="Cambria"/>
          <w:b/>
          <w:bCs/>
          <w:sz w:val="24"/>
          <w:szCs w:val="24"/>
        </w:rPr>
        <w:t>Figure 5</w:t>
      </w:r>
      <w:r w:rsidRPr="00CD2F5C">
        <w:rPr>
          <w:rFonts w:ascii="Cambria" w:hAnsi="Cambria"/>
          <w:sz w:val="24"/>
          <w:szCs w:val="24"/>
        </w:rPr>
        <w:t xml:space="preserve">, six different correlations were extracted from five studies (Corsini-Munt et al. 2017, Mehta et al. 2017, Dennis et al. 2019, Yeung et al. 2016, Piontek et al. 2021), producing an overall correlation of </w:t>
      </w:r>
      <w:bookmarkStart w:id="53" w:name="_Hlk114917679"/>
      <w:r w:rsidRPr="00CD2F5C">
        <w:rPr>
          <w:rFonts w:ascii="Cambria" w:hAnsi="Cambria"/>
          <w:i/>
          <w:iCs/>
          <w:sz w:val="24"/>
          <w:szCs w:val="24"/>
        </w:rPr>
        <w:t>r</w:t>
      </w:r>
      <w:r w:rsidRPr="00CD2F5C">
        <w:rPr>
          <w:rFonts w:ascii="Cambria" w:hAnsi="Cambria"/>
          <w:sz w:val="24"/>
          <w:szCs w:val="24"/>
        </w:rPr>
        <w:t xml:space="preserve"> = 0.30 (95%CI = [0.14, 0.45], p &lt; 0.01). This </w:t>
      </w:r>
      <w:bookmarkEnd w:id="53"/>
      <w:r w:rsidRPr="00CD2F5C">
        <w:rPr>
          <w:rFonts w:ascii="Cambria" w:hAnsi="Cambria"/>
          <w:sz w:val="24"/>
          <w:szCs w:val="24"/>
        </w:rPr>
        <w:t>indicated a significant moderate positive association between anxiety and chronic pain indices, such that higher anxiety symptomatology was associated with higher pain intensity. The analysis also had a moderate between-study heterogeneity (</w:t>
      </w:r>
      <w:r w:rsidRPr="00CD2F5C">
        <w:rPr>
          <w:rFonts w:ascii="Cambria" w:hAnsi="Cambria"/>
          <w:i/>
          <w:iCs/>
          <w:sz w:val="24"/>
          <w:szCs w:val="24"/>
        </w:rPr>
        <w:t>I</w:t>
      </w:r>
      <w:r w:rsidRPr="00CD2F5C">
        <w:rPr>
          <w:rFonts w:ascii="Cambria" w:hAnsi="Cambria"/>
          <w:i/>
          <w:iCs/>
          <w:sz w:val="24"/>
          <w:szCs w:val="24"/>
          <w:vertAlign w:val="superscript"/>
        </w:rPr>
        <w:t>2</w:t>
      </w:r>
      <w:r w:rsidRPr="00CD2F5C">
        <w:rPr>
          <w:rFonts w:ascii="Cambria" w:hAnsi="Cambria"/>
          <w:sz w:val="24"/>
          <w:szCs w:val="24"/>
        </w:rPr>
        <w:t xml:space="preserve"> = 66%, p = 0.01).</w:t>
      </w:r>
    </w:p>
    <w:p w14:paraId="4B4CD14A"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 xml:space="preserve">Figure 5. Association between anxiety and pain </w:t>
      </w:r>
    </w:p>
    <w:p w14:paraId="5D05CE96"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drawing>
          <wp:inline distT="0" distB="0" distL="0" distR="0" wp14:anchorId="7D740955" wp14:editId="6796F125">
            <wp:extent cx="5237480" cy="238252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7480" cy="2382520"/>
                    </a:xfrm>
                    <a:prstGeom prst="rect">
                      <a:avLst/>
                    </a:prstGeom>
                    <a:noFill/>
                    <a:ln>
                      <a:noFill/>
                    </a:ln>
                  </pic:spPr>
                </pic:pic>
              </a:graphicData>
            </a:graphic>
          </wp:inline>
        </w:drawing>
      </w:r>
    </w:p>
    <w:p w14:paraId="42D32E01" w14:textId="77777777" w:rsidR="009832C0" w:rsidRPr="00CD2F5C" w:rsidRDefault="009832C0" w:rsidP="002B0F75">
      <w:pPr>
        <w:spacing w:line="360" w:lineRule="auto"/>
        <w:rPr>
          <w:rFonts w:ascii="Cambria" w:hAnsi="Cambria"/>
          <w:b/>
          <w:bCs/>
          <w:sz w:val="24"/>
          <w:szCs w:val="24"/>
        </w:rPr>
      </w:pPr>
      <w:r w:rsidRPr="00CD2F5C">
        <w:rPr>
          <w:rFonts w:ascii="Cambria" w:hAnsi="Cambria"/>
          <w:sz w:val="24"/>
          <w:szCs w:val="24"/>
        </w:rPr>
        <w:t>CI, confidence interval; COR, correlation.</w:t>
      </w:r>
    </w:p>
    <w:p w14:paraId="3A98AA37" w14:textId="77777777" w:rsidR="009832C0" w:rsidRPr="00CD2F5C" w:rsidRDefault="009832C0" w:rsidP="002B0F75">
      <w:pPr>
        <w:spacing w:line="360" w:lineRule="auto"/>
        <w:rPr>
          <w:rFonts w:ascii="Cambria" w:hAnsi="Cambria"/>
          <w:b/>
          <w:bCs/>
          <w:sz w:val="24"/>
          <w:szCs w:val="24"/>
        </w:rPr>
      </w:pPr>
      <w:r w:rsidRPr="00CD2F5C">
        <w:rPr>
          <w:rFonts w:ascii="Cambria" w:hAnsi="Cambria"/>
          <w:i/>
          <w:iCs/>
          <w:sz w:val="24"/>
          <w:szCs w:val="24"/>
        </w:rPr>
        <w:t>Association between ACEs and anxiety</w:t>
      </w:r>
    </w:p>
    <w:p w14:paraId="0DC6CF4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 correlation meta-analysis exploring the relationship between ACEs and anxiety was conducted. As stated previously, ACEs were measured using indices from scales such as the CTQ and the ACE scale, while anxiety was most often measured using common clinical </w:t>
      </w:r>
      <w:r w:rsidRPr="00CD2F5C">
        <w:rPr>
          <w:rFonts w:ascii="Cambria" w:hAnsi="Cambria"/>
          <w:sz w:val="24"/>
          <w:szCs w:val="24"/>
        </w:rPr>
        <w:lastRenderedPageBreak/>
        <w:t xml:space="preserve">instruments. As shown in </w:t>
      </w:r>
      <w:r w:rsidRPr="00CD2F5C">
        <w:rPr>
          <w:rFonts w:ascii="Cambria" w:hAnsi="Cambria"/>
          <w:b/>
          <w:bCs/>
          <w:sz w:val="24"/>
          <w:szCs w:val="24"/>
        </w:rPr>
        <w:t>Figure 6</w:t>
      </w:r>
      <w:r w:rsidRPr="00CD2F5C">
        <w:rPr>
          <w:rFonts w:ascii="Cambria" w:hAnsi="Cambria"/>
          <w:sz w:val="24"/>
          <w:szCs w:val="24"/>
        </w:rPr>
        <w:t xml:space="preserve">, 8 correlations across 8 studies were extracted (Corsini-Munt et al. 2017, Dennis et al. 2019, Lai et al. 2016, Mehta et al. 2017, Piontek et al. 2021, Poli-Neto et al. 2018, </w:t>
      </w:r>
      <w:proofErr w:type="spellStart"/>
      <w:r w:rsidRPr="00CD2F5C">
        <w:rPr>
          <w:rFonts w:ascii="Cambria" w:hAnsi="Cambria"/>
          <w:sz w:val="24"/>
          <w:szCs w:val="24"/>
        </w:rPr>
        <w:t>Schrepf</w:t>
      </w:r>
      <w:proofErr w:type="spellEnd"/>
      <w:r w:rsidRPr="00CD2F5C">
        <w:rPr>
          <w:rFonts w:ascii="Cambria" w:hAnsi="Cambria"/>
          <w:sz w:val="24"/>
          <w:szCs w:val="24"/>
        </w:rPr>
        <w:t xml:space="preserve"> et al. 2018, Yeung et al. 2016), producing an overall correlation of </w:t>
      </w:r>
      <w:bookmarkStart w:id="54" w:name="_Hlk114917785"/>
      <w:r w:rsidRPr="00CD2F5C">
        <w:rPr>
          <w:rFonts w:ascii="Cambria" w:hAnsi="Cambria"/>
          <w:i/>
          <w:iCs/>
          <w:sz w:val="24"/>
          <w:szCs w:val="24"/>
        </w:rPr>
        <w:t>r</w:t>
      </w:r>
      <w:r w:rsidRPr="00CD2F5C">
        <w:rPr>
          <w:rFonts w:ascii="Cambria" w:hAnsi="Cambria"/>
          <w:sz w:val="24"/>
          <w:szCs w:val="24"/>
        </w:rPr>
        <w:t xml:space="preserve"> = 0.26 (95%CI = [0.15, 0.36], </w:t>
      </w:r>
      <w:r w:rsidRPr="00CD2F5C">
        <w:rPr>
          <w:rFonts w:ascii="Cambria" w:hAnsi="Cambria"/>
          <w:i/>
          <w:iCs/>
          <w:sz w:val="24"/>
          <w:szCs w:val="24"/>
        </w:rPr>
        <w:t>p</w:t>
      </w:r>
      <w:r w:rsidRPr="00CD2F5C">
        <w:rPr>
          <w:rFonts w:ascii="Cambria" w:hAnsi="Cambria"/>
          <w:sz w:val="24"/>
          <w:szCs w:val="24"/>
        </w:rPr>
        <w:t xml:space="preserve"> &lt; 0.01)</w:t>
      </w:r>
      <w:bookmarkEnd w:id="54"/>
      <w:r w:rsidRPr="00CD2F5C">
        <w:rPr>
          <w:rFonts w:ascii="Cambria" w:hAnsi="Cambria"/>
          <w:sz w:val="24"/>
          <w:szCs w:val="24"/>
        </w:rPr>
        <w:t>, indicating a significant positive moderate association between ACEs and anxiety, such that greater frequency of ACEs related to greater anxiety symptoms. This analysis had a moderate between-study heterogeneity (</w:t>
      </w:r>
      <w:r w:rsidRPr="00CD2F5C">
        <w:rPr>
          <w:rFonts w:ascii="Cambria" w:hAnsi="Cambria"/>
          <w:i/>
          <w:iCs/>
          <w:sz w:val="24"/>
          <w:szCs w:val="24"/>
        </w:rPr>
        <w:t>I</w:t>
      </w:r>
      <w:r w:rsidRPr="00CD2F5C">
        <w:rPr>
          <w:rFonts w:ascii="Cambria" w:hAnsi="Cambria"/>
          <w:i/>
          <w:iCs/>
          <w:sz w:val="24"/>
          <w:szCs w:val="24"/>
          <w:vertAlign w:val="superscript"/>
        </w:rPr>
        <w:t>2</w:t>
      </w:r>
      <w:r w:rsidRPr="00CD2F5C">
        <w:rPr>
          <w:rFonts w:ascii="Cambria" w:hAnsi="Cambria"/>
          <w:sz w:val="24"/>
          <w:szCs w:val="24"/>
        </w:rPr>
        <w:t xml:space="preserve"> = 59%, </w:t>
      </w:r>
      <w:r w:rsidRPr="00CD2F5C">
        <w:rPr>
          <w:rFonts w:ascii="Cambria" w:hAnsi="Cambria"/>
          <w:i/>
          <w:iCs/>
          <w:sz w:val="24"/>
          <w:szCs w:val="24"/>
        </w:rPr>
        <w:t>p</w:t>
      </w:r>
      <w:r w:rsidRPr="00CD2F5C">
        <w:rPr>
          <w:rFonts w:ascii="Cambria" w:hAnsi="Cambria"/>
          <w:sz w:val="24"/>
          <w:szCs w:val="24"/>
        </w:rPr>
        <w:t xml:space="preserve"> = 0.02).</w:t>
      </w:r>
    </w:p>
    <w:p w14:paraId="1F09D133"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Figure 6. Association between ACEs and anxiety</w:t>
      </w:r>
    </w:p>
    <w:p w14:paraId="56AB4A2C"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drawing>
          <wp:inline distT="0" distB="0" distL="0" distR="0" wp14:anchorId="24AE0E9B" wp14:editId="447314F1">
            <wp:extent cx="5237480" cy="2855595"/>
            <wp:effectExtent l="0" t="0" r="127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37480" cy="2855595"/>
                    </a:xfrm>
                    <a:prstGeom prst="rect">
                      <a:avLst/>
                    </a:prstGeom>
                    <a:noFill/>
                    <a:ln>
                      <a:noFill/>
                    </a:ln>
                  </pic:spPr>
                </pic:pic>
              </a:graphicData>
            </a:graphic>
          </wp:inline>
        </w:drawing>
      </w:r>
    </w:p>
    <w:p w14:paraId="0449601E" w14:textId="77777777" w:rsidR="009832C0" w:rsidRPr="00CD2F5C" w:rsidRDefault="009832C0" w:rsidP="002B0F75">
      <w:pPr>
        <w:spacing w:line="360" w:lineRule="auto"/>
        <w:rPr>
          <w:rFonts w:ascii="Cambria" w:hAnsi="Cambria"/>
          <w:b/>
          <w:bCs/>
          <w:sz w:val="24"/>
          <w:szCs w:val="24"/>
        </w:rPr>
      </w:pPr>
      <w:r w:rsidRPr="00CD2F5C">
        <w:rPr>
          <w:rFonts w:ascii="Cambria" w:hAnsi="Cambria"/>
          <w:sz w:val="24"/>
          <w:szCs w:val="24"/>
        </w:rPr>
        <w:t>ACE, adverse childhood event; CI, confidence interval; COR, correlation.</w:t>
      </w:r>
    </w:p>
    <w:p w14:paraId="0DF9021E"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Discussion</w:t>
      </w:r>
    </w:p>
    <w:p w14:paraId="24D2FA9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results of this systematic review indicated that there was indeed substantial evidence available suggesting an association between childhood adversities and anxiety, and/or chronic pain experiences in adults, as well as associations between anxiety and pain. </w:t>
      </w:r>
      <w:bookmarkStart w:id="55" w:name="_Hlk145688776"/>
      <w:r w:rsidRPr="00CD2F5C">
        <w:rPr>
          <w:rFonts w:ascii="Cambria" w:hAnsi="Cambria"/>
          <w:sz w:val="24"/>
          <w:szCs w:val="24"/>
        </w:rPr>
        <w:t xml:space="preserve">The meta-analyses further substantiated these relationships.  There was an increased risk of chronic pain among those with ACEs and a small association between ACEs and chronic pain intensity.  There were also moderate-sized significant associations between </w:t>
      </w:r>
      <w:bookmarkStart w:id="56" w:name="_Hlk114917207"/>
      <w:r w:rsidRPr="00CD2F5C">
        <w:rPr>
          <w:rFonts w:ascii="Cambria" w:hAnsi="Cambria"/>
          <w:sz w:val="24"/>
          <w:szCs w:val="24"/>
        </w:rPr>
        <w:t>anxiety and chronic pain, as well as between ACEs and anxiety.</w:t>
      </w:r>
      <w:bookmarkEnd w:id="56"/>
      <w:r w:rsidRPr="00CD2F5C">
        <w:rPr>
          <w:rFonts w:ascii="Cambria" w:hAnsi="Cambria"/>
          <w:sz w:val="24"/>
          <w:szCs w:val="24"/>
        </w:rPr>
        <w:t xml:space="preserve"> </w:t>
      </w:r>
      <w:bookmarkEnd w:id="55"/>
    </w:p>
    <w:p w14:paraId="4CE517F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When examining the various types of adversity, results of the present narrative synthesis contrasted somewhat with past research in that sexual abuse was frequently reported on. For example, the CDC collection of ACEs data as a part of the Behavioural Risk Factor Surveillance Survey BRFSS indicated that sexual abuse was the least commonly reported ACE (Giano et al. 2020). This could be explained by variations in the ACE type studied, variations in the study sample characteristics, or simply variations in the ACE definitions. In one report, for example, the prevalence of reported child sexual abuse ranged from 7–36% for women and 3–29% for men, but then the WHO concluded 12% of children were sexually abused in 2015 (</w:t>
      </w:r>
      <w:proofErr w:type="spellStart"/>
      <w:r w:rsidRPr="00CD2F5C">
        <w:rPr>
          <w:rFonts w:ascii="Cambria" w:hAnsi="Cambria"/>
          <w:sz w:val="24"/>
          <w:szCs w:val="24"/>
        </w:rPr>
        <w:t>Broekhof</w:t>
      </w:r>
      <w:proofErr w:type="spellEnd"/>
      <w:r w:rsidRPr="00CD2F5C">
        <w:rPr>
          <w:rFonts w:ascii="Cambria" w:hAnsi="Cambria"/>
          <w:sz w:val="24"/>
          <w:szCs w:val="24"/>
        </w:rPr>
        <w:t xml:space="preserve"> et al. 2022) Additionally, the nature of ACE reporting indicates a shift to include more measures on not only physical and emotional abuse, but also neglect categories. This may provide valuable insight into any underlying changes associated with neglect and how that may overlap with the neurophysiological basis of anxiety as well, particularly in the context of adults with chronic pain that seems resistant to standard models of treatment. Further, some research in this area has focused on the specific type or number of ACEs. However, recent research by </w:t>
      </w:r>
      <w:proofErr w:type="spellStart"/>
      <w:r w:rsidRPr="00CD2F5C">
        <w:rPr>
          <w:rFonts w:ascii="Cambria" w:hAnsi="Cambria"/>
          <w:sz w:val="24"/>
          <w:szCs w:val="24"/>
        </w:rPr>
        <w:t>Broekhof</w:t>
      </w:r>
      <w:proofErr w:type="spellEnd"/>
      <w:r w:rsidRPr="00CD2F5C">
        <w:rPr>
          <w:rFonts w:ascii="Cambria" w:hAnsi="Cambria"/>
          <w:sz w:val="24"/>
          <w:szCs w:val="24"/>
        </w:rPr>
        <w:t xml:space="preserve"> et al. (2022) revealed a high amount of overlap between three ACE sub-types and individual ACEs, indicating that perhaps ACEs should be assessed as a combined group rather than individually.</w:t>
      </w:r>
    </w:p>
    <w:p w14:paraId="0BD59B7A"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ACEs and pain</w:t>
      </w:r>
    </w:p>
    <w:p w14:paraId="1CBA600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results of the meta-analysis revealed that participants who experienced an ACE were almost twice as likely to present chronic pain during adulthood. Although ACEs and the intensity of chronic pain were significantly associated too, this was a smaller effect. This is in line with findings which demonstrate that early-life adversity lays a critical foundation for health outcomes later in life, and there are already higher rates of chronic pain in adolescents who have reported one or more ACEs (Groenewald et al., 2020). By adulthood, ACEs can result in significant economic costs in the form of lost employment productivity and health care spending (NCSL, 2021). They are also associated with reduced adaptability and increased social isolation, reduced self-esteem, and increased rates of dissociation and anger hostility (NCSL, 2021). This highlights a substantial unmet need in treating adults with chronic pain who have a history of ACEs. </w:t>
      </w:r>
    </w:p>
    <w:p w14:paraId="3501C12F"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lastRenderedPageBreak/>
        <w:t>The role of anxiety</w:t>
      </w:r>
    </w:p>
    <w:p w14:paraId="1F5CF21B" w14:textId="28236D65"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results of the meta-analysis demonstrated a moderate-sized significant association between ACEs and anxiety, as well as a moderate-sized significant association between anxiety and chronic pain. When reviewing the narrative synthesis, most studies still indicated there was still an association between anxiety and chronic pain when excluding ACEs from the relationship assessment, but it was not significant. Similarly, a multivariate analysis showed that all ACE measures were significantly associated with higher odds of anxiety in youth, with the most significant increase if there were more than four ACEs reported (Elmore &amp; Crouch 2021).  Past research has clearly indicated long-term effects of ACEs on a variety of developmental problems, negative adult health outcomes (both psychological and physical), risky health-related </w:t>
      </w:r>
      <w:r w:rsidR="00160CA2" w:rsidRPr="00CD2F5C">
        <w:rPr>
          <w:rFonts w:ascii="Cambria" w:hAnsi="Cambria"/>
          <w:sz w:val="24"/>
          <w:szCs w:val="24"/>
        </w:rPr>
        <w:t>behaviours</w:t>
      </w:r>
      <w:r w:rsidRPr="00CD2F5C">
        <w:rPr>
          <w:rFonts w:ascii="Cambria" w:hAnsi="Cambria"/>
          <w:sz w:val="24"/>
          <w:szCs w:val="24"/>
        </w:rPr>
        <w:t>, increased healthcare use, and higher financial burden (</w:t>
      </w:r>
      <w:proofErr w:type="spellStart"/>
      <w:r w:rsidRPr="00CD2F5C">
        <w:rPr>
          <w:rFonts w:ascii="Cambria" w:hAnsi="Cambria"/>
          <w:sz w:val="24"/>
          <w:szCs w:val="24"/>
        </w:rPr>
        <w:t>Bussières</w:t>
      </w:r>
      <w:proofErr w:type="spellEnd"/>
      <w:r w:rsidRPr="00CD2F5C">
        <w:rPr>
          <w:rFonts w:ascii="Cambria" w:hAnsi="Cambria"/>
          <w:sz w:val="24"/>
          <w:szCs w:val="24"/>
        </w:rPr>
        <w:t xml:space="preserve"> et al. 2020). In Europe and North America, for example, the total annual costs attributable to ACEs for the six main causes of health burden (cancer, diabetes, cardiovascular disease, respiratory disease, anxiety, and depression) was assessed to be between USD $417 and $487 billion; over 75% of this cost range was attributed to experiencing two or more ACEs (</w:t>
      </w:r>
      <w:proofErr w:type="spellStart"/>
      <w:r w:rsidRPr="00CD2F5C">
        <w:rPr>
          <w:rFonts w:ascii="Cambria" w:hAnsi="Cambria"/>
          <w:sz w:val="24"/>
          <w:szCs w:val="24"/>
        </w:rPr>
        <w:t>Bussières</w:t>
      </w:r>
      <w:proofErr w:type="spellEnd"/>
      <w:r w:rsidRPr="00CD2F5C">
        <w:rPr>
          <w:rFonts w:ascii="Cambria" w:hAnsi="Cambria"/>
          <w:sz w:val="24"/>
          <w:szCs w:val="24"/>
        </w:rPr>
        <w:t xml:space="preserve"> et al. 2020). Taken together, the findings highlight the importance of the ACEs-anxiety relationship in the context of personal, societal, and economic burden. </w:t>
      </w:r>
    </w:p>
    <w:p w14:paraId="4BC0BAF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present </w:t>
      </w:r>
      <w:bookmarkStart w:id="57" w:name="_Hlk141532309"/>
      <w:r w:rsidRPr="00CD2F5C">
        <w:rPr>
          <w:rFonts w:ascii="Cambria" w:hAnsi="Cambria"/>
          <w:sz w:val="24"/>
          <w:szCs w:val="24"/>
        </w:rPr>
        <w:t>results add to the growing evidence of the importance of the ACEs-anxiety relationship in the context of chronic pain</w:t>
      </w:r>
      <w:bookmarkEnd w:id="57"/>
      <w:r w:rsidRPr="00CD2F5C">
        <w:rPr>
          <w:rFonts w:ascii="Cambria" w:hAnsi="Cambria"/>
          <w:sz w:val="24"/>
          <w:szCs w:val="24"/>
        </w:rPr>
        <w:t xml:space="preserve">. The processing of pain is subject to different emotional and cognitive states across individuals (Tseng et al. 2017), many of which could be influenced by experiences of early life adversity, trauma, or violence. Patients who are in chronic pain may struggle with daily life and social activity, which are often seen as due to anxiety (Dueñas et al., 2016). The two have a complex relationship, and the results of this review highlight the need to target this relationship more directly, hopefully leading to better patient treatment options, higher quality of life despite the chronic pain, and lower costs annually. Additionally, this review held value by attempting to summarize the associations between all three variables, particularly indicating that anxiety could be a mediator in the association between ACEs and chronic pain, something that needs to be explored in future research. Studies featuring ACE prevalence are informative, but policy </w:t>
      </w:r>
      <w:r w:rsidRPr="00CD2F5C">
        <w:rPr>
          <w:rFonts w:ascii="Cambria" w:hAnsi="Cambria"/>
          <w:sz w:val="24"/>
          <w:szCs w:val="24"/>
        </w:rPr>
        <w:lastRenderedPageBreak/>
        <w:t>and work settings do not reflect how this could be incorporated and applied to address these issues, such as by offering discrete screening options for employees on risk factors and providing appropriate accommodations if found.</w:t>
      </w:r>
    </w:p>
    <w:p w14:paraId="3BD188AC"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 xml:space="preserve">Strengths, weaknesses of existing studies, and implications for future research </w:t>
      </w:r>
    </w:p>
    <w:p w14:paraId="7074FA6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Strengths of the studies incorporated in this review include that some studies now also include neglect in the measurement of childhood adversity alongside abuse, which means this research will now be able to more comprehensively demonstrate the impact of ACEs beyond more commonly acknowledged forms of abuse. Further, studies included a broad range of measuring chronic pain occurrence and intensity, which is likely to mean any associations with ACEs or anxiety are not underestimated. The meta-analyses did show an increased risk of chronic pain among those with ACEs and a small association between ACEs and chronic pain intensity, as well as moderate-sized significant associations between anxiety and chronic pain, and between ACEs and anxiety. Some key weaknesses were the known limitations of self-report measures, which are subject to recall bias, the potential for improper self-diagnosis, and gaps in a participant’s memory due to the young age of abuse and/or memories missing due to trauma. However, these studies are still valuable and worth including in this review to provide a more robust sample for analysis. Including only studies of those with diagnoses would likely underestimate any associations between these variables, given that many individuals may not seek medical help for anxiety and/or chronic pain (Clark et al. 2017). In future research of this type, it is recommended that both diagnosis of, and self-report measures of ACEs and anxiety, be included to maximise potential understanding of the associations between these factors and chronic pain. However, well-validated standardised commonly used measures should be implemented where possible to enable comparison of associations across studies. Further, studies incorporating ACE assessment should measure neglect as well as abuse, and also seek to standardise the assessment of a broader range of pain outcomes. Finally, the age range in the included articles was somewhat limited, and it would be of value for studies to examine whether the impact of ACEs on anxiety and chronic pain is maintained well into older adulthood, i.e., in those aged 65+ years.</w:t>
      </w:r>
    </w:p>
    <w:p w14:paraId="52B681E1" w14:textId="77777777" w:rsidR="009832C0" w:rsidRPr="00CD2F5C" w:rsidRDefault="009832C0" w:rsidP="002B0F75">
      <w:pPr>
        <w:spacing w:line="360" w:lineRule="auto"/>
        <w:rPr>
          <w:rFonts w:ascii="Cambria" w:hAnsi="Cambria"/>
          <w:sz w:val="24"/>
          <w:szCs w:val="24"/>
        </w:rPr>
      </w:pPr>
      <w:r w:rsidRPr="00CD2F5C">
        <w:rPr>
          <w:rFonts w:ascii="Cambria" w:hAnsi="Cambria"/>
          <w:i/>
          <w:iCs/>
          <w:sz w:val="24"/>
          <w:szCs w:val="24"/>
        </w:rPr>
        <w:lastRenderedPageBreak/>
        <w:t>Practical Implications and future directions</w:t>
      </w:r>
    </w:p>
    <w:p w14:paraId="3EA16D61" w14:textId="45250FD6"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Chronic pain treatments and </w:t>
      </w:r>
      <w:r w:rsidR="00AE75F3">
        <w:rPr>
          <w:rFonts w:ascii="Cambria" w:hAnsi="Cambria"/>
          <w:sz w:val="24"/>
          <w:szCs w:val="24"/>
        </w:rPr>
        <w:t>o</w:t>
      </w:r>
      <w:r w:rsidR="00AE75F3" w:rsidRPr="00AE75F3">
        <w:rPr>
          <w:rFonts w:ascii="Cambria" w:hAnsi="Cambria"/>
          <w:sz w:val="24"/>
          <w:szCs w:val="24"/>
        </w:rPr>
        <w:t>pioid</w:t>
      </w:r>
      <w:r w:rsidRPr="00CD2F5C">
        <w:rPr>
          <w:rFonts w:ascii="Cambria" w:hAnsi="Cambria"/>
          <w:sz w:val="24"/>
          <w:szCs w:val="24"/>
        </w:rPr>
        <w:t xml:space="preserve"> abuse have been a topic for decades, but until the underlying mechanisms of pain are better understood, outcomes are unlikely to change, and treatments will continue to fall short (Phillips et al. 2017). By examining the potential influence anxiety has in chronic pain mechanisms via altered neurobiology potentially due to ACE history, and thus the corresponding impact on typical nerve behaviour, new treatment options could be developed. Historically, it is commonly known how impactful mirror‐therapy was for veterans and other individuals with painful phantom‐limb syndrome (Chan et al. 2019). Although this study had a very specific target population, it would be beneficial to examine the feasibility of perception‐based treatment options in place of o</w:t>
      </w:r>
      <w:r w:rsidR="00AE75F3" w:rsidRPr="00AE75F3">
        <w:rPr>
          <w:rFonts w:ascii="Cambria" w:hAnsi="Cambria"/>
          <w:sz w:val="24"/>
          <w:szCs w:val="24"/>
        </w:rPr>
        <w:t>pioid</w:t>
      </w:r>
      <w:r w:rsidRPr="00CD2F5C">
        <w:rPr>
          <w:rFonts w:ascii="Cambria" w:hAnsi="Cambria"/>
          <w:sz w:val="24"/>
          <w:szCs w:val="24"/>
        </w:rPr>
        <w:t xml:space="preserve"> prescriptions for individuals with anxiety and pain, particularly when considering the biological predispositions</w:t>
      </w:r>
      <w:r w:rsidR="00AE75F3">
        <w:rPr>
          <w:rFonts w:ascii="Cambria" w:hAnsi="Cambria"/>
          <w:sz w:val="24"/>
          <w:szCs w:val="24"/>
        </w:rPr>
        <w:t xml:space="preserve"> (i.e., vulnerabilities)</w:t>
      </w:r>
      <w:r w:rsidRPr="00CD2F5C">
        <w:rPr>
          <w:rFonts w:ascii="Cambria" w:hAnsi="Cambria"/>
          <w:sz w:val="24"/>
          <w:szCs w:val="24"/>
        </w:rPr>
        <w:t xml:space="preserve"> that may be present due to a history of childhood adversity. </w:t>
      </w:r>
    </w:p>
    <w:p w14:paraId="51EDF78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prevalence rates identified in this systematic review could be useful in better understanding the underlying mechanisms of how the brain may respond to trauma or violence, particularly for those struggling with anxiety and chronic pain that are resistant to standard treatment models or interventions. When considering that the origin of a patient’s symptomology may be rooted in developmental dysfunction attributable to early life adversity, it may help inform on and encourage new treatment options that are not exclusively designed according to standard functioning models of human development. Although this meta-analysis highlights a potential mediating effect of anxiety in the ACEs-chronic pain relationship, this was not possible to explore in the present analyses and warrants further investigation.</w:t>
      </w:r>
    </w:p>
    <w:p w14:paraId="313D04D4" w14:textId="77777777" w:rsidR="009832C0" w:rsidRPr="00CD2F5C" w:rsidRDefault="009832C0" w:rsidP="002B0F75">
      <w:pPr>
        <w:spacing w:line="360" w:lineRule="auto"/>
        <w:rPr>
          <w:rFonts w:ascii="Cambria" w:hAnsi="Cambria"/>
          <w:sz w:val="24"/>
          <w:szCs w:val="24"/>
        </w:rPr>
      </w:pPr>
      <w:bookmarkStart w:id="58" w:name="_Hlk143705588"/>
      <w:r w:rsidRPr="00CD2F5C">
        <w:rPr>
          <w:rFonts w:ascii="Cambria" w:hAnsi="Cambria"/>
          <w:sz w:val="24"/>
          <w:szCs w:val="24"/>
        </w:rPr>
        <w:t>In addition, evidence-based precision health care has gained more traction in recent years. Although there are multiple evidence-supported psychotherapy (such as dialectical or cognitive behavioural therapy) and clinical intervention options, to date, no single approach, therapist, or treatment successfully helps every patient (</w:t>
      </w:r>
      <w:proofErr w:type="spellStart"/>
      <w:r w:rsidRPr="00CD2F5C">
        <w:rPr>
          <w:rFonts w:ascii="Cambria" w:hAnsi="Cambria"/>
          <w:sz w:val="24"/>
          <w:szCs w:val="24"/>
        </w:rPr>
        <w:t>Zilcha</w:t>
      </w:r>
      <w:proofErr w:type="spellEnd"/>
      <w:r w:rsidRPr="00CD2F5C">
        <w:rPr>
          <w:rFonts w:ascii="Cambria" w:hAnsi="Cambria"/>
          <w:sz w:val="24"/>
          <w:szCs w:val="24"/>
        </w:rPr>
        <w:t xml:space="preserve">-Mano et al. 2022). Despite the prevalence of ACEs, many providers remain uncomfortable treating and recognizing trauma, particularly in the paediatric setting when the opportunity for </w:t>
      </w:r>
      <w:r w:rsidRPr="00CD2F5C">
        <w:rPr>
          <w:rFonts w:ascii="Cambria" w:hAnsi="Cambria"/>
          <w:sz w:val="24"/>
          <w:szCs w:val="24"/>
        </w:rPr>
        <w:lastRenderedPageBreak/>
        <w:t>intervention and prevention are still possible. In a hospital-wide survey assessing provider’s comfort with trauma-informed care, less than 40% of staff members felt sufficiently equipped to screen for ACEs and only 34% felt they could make an informed, appropriate referral to follow-up trauma services. Additionally, 80.5% felt the resources available for identified survivors of trauma, ACEs, or violence were inadequate (Slater 2021). While not everyone who has had an ACE is going to develop anxiety and later chronic pain, these types of screening factors could be a useful tool for assessing a patient’s future risk and potentially improving the current attempts at establishing pathways for individualized, tailored care.</w:t>
      </w:r>
    </w:p>
    <w:bookmarkEnd w:id="58"/>
    <w:p w14:paraId="0CEF0140" w14:textId="77777777" w:rsidR="009832C0" w:rsidRPr="00CD2F5C" w:rsidRDefault="009832C0" w:rsidP="002B0F75">
      <w:pPr>
        <w:spacing w:line="360" w:lineRule="auto"/>
        <w:rPr>
          <w:rFonts w:ascii="Cambria" w:hAnsi="Cambria"/>
          <w:i/>
          <w:iCs/>
          <w:sz w:val="24"/>
          <w:szCs w:val="24"/>
        </w:rPr>
      </w:pPr>
      <w:r w:rsidRPr="00CD2F5C">
        <w:rPr>
          <w:rFonts w:ascii="Cambria" w:hAnsi="Cambria"/>
          <w:i/>
          <w:iCs/>
          <w:sz w:val="24"/>
          <w:szCs w:val="24"/>
        </w:rPr>
        <w:t>Strengths and Limitations of this Review</w:t>
      </w:r>
    </w:p>
    <w:p w14:paraId="480FAB9F" w14:textId="72288950" w:rsidR="009832C0" w:rsidRPr="00CD2F5C" w:rsidRDefault="009832C0" w:rsidP="002B0F75">
      <w:pPr>
        <w:spacing w:line="360" w:lineRule="auto"/>
        <w:rPr>
          <w:rFonts w:ascii="Cambria" w:hAnsi="Cambria"/>
          <w:sz w:val="24"/>
          <w:szCs w:val="24"/>
        </w:rPr>
      </w:pPr>
      <w:bookmarkStart w:id="59" w:name="_Hlk145497570"/>
      <w:r w:rsidRPr="00CD2F5C">
        <w:rPr>
          <w:rFonts w:ascii="Cambria" w:hAnsi="Cambria"/>
          <w:sz w:val="24"/>
          <w:szCs w:val="24"/>
        </w:rPr>
        <w:t>As qualitative systematic literature reviews may be subject to interpretation bias, meta-analyses were also conducted, which follow a more objective and rigorous statistical procedure (</w:t>
      </w:r>
      <w:proofErr w:type="spellStart"/>
      <w:r w:rsidRPr="00CD2F5C">
        <w:rPr>
          <w:rFonts w:ascii="Cambria" w:hAnsi="Cambria"/>
          <w:sz w:val="24"/>
          <w:szCs w:val="24"/>
        </w:rPr>
        <w:t>Siddaway</w:t>
      </w:r>
      <w:proofErr w:type="spellEnd"/>
      <w:r w:rsidRPr="00CD2F5C">
        <w:rPr>
          <w:rFonts w:ascii="Cambria" w:hAnsi="Cambria"/>
          <w:sz w:val="24"/>
          <w:szCs w:val="24"/>
        </w:rPr>
        <w:t xml:space="preserve"> et al., 2019). Additionally, the present results—systematically summarising over two decades of research—meaningfully add to the growing evidence on the importance of the ACEs-anxiety relationship in the context of chronic pain in adults. However, there are some limitations to consider. </w:t>
      </w:r>
      <w:bookmarkEnd w:id="59"/>
      <w:r w:rsidRPr="00CD2F5C">
        <w:rPr>
          <w:rFonts w:ascii="Cambria" w:hAnsi="Cambria"/>
          <w:sz w:val="24"/>
          <w:szCs w:val="24"/>
        </w:rPr>
        <w:t xml:space="preserve">Measures of anxiety in the included studies could be either by diagnosis or self-report, which covers a wide range of severity and includes non-diagnosed participants. However, the self-reports were in most cases based on standardised psychometric tools, increasing validity and giving a measure of severity. </w:t>
      </w:r>
      <w:bookmarkStart w:id="60" w:name="_Hlk131857084"/>
      <w:r w:rsidRPr="00CD2F5C">
        <w:rPr>
          <w:rFonts w:ascii="Cambria" w:hAnsi="Cambria"/>
          <w:sz w:val="24"/>
          <w:szCs w:val="24"/>
        </w:rPr>
        <w:t>An important limitation was the wide variety of ACEs and chronic pain manifestations, resulting in variation in the methods, populations, and theoretical perspectives of the studies. Consequently, not every study could be included in the analysis for each association. Further, including non-independent samples effect sizes can also potentially introduce bias through increasing the impact of one or two studies with multiple effect sizes contributing to the overall effect size. However, when more than two or three measures are used in multiple studies to be included in a meta-analysis, conducting sensitivity analyses for every pair of outcomes is not considered feasible (</w:t>
      </w:r>
      <w:proofErr w:type="spellStart"/>
      <w:r w:rsidRPr="00CD2F5C">
        <w:rPr>
          <w:rFonts w:ascii="Cambria" w:hAnsi="Cambria"/>
          <w:sz w:val="24"/>
          <w:szCs w:val="24"/>
        </w:rPr>
        <w:t>Scammacca</w:t>
      </w:r>
      <w:proofErr w:type="spellEnd"/>
      <w:r w:rsidRPr="00CD2F5C">
        <w:rPr>
          <w:rFonts w:ascii="Cambria" w:hAnsi="Cambria"/>
          <w:sz w:val="24"/>
          <w:szCs w:val="24"/>
        </w:rPr>
        <w:t xml:space="preserve"> et al., 2014). Another reason for non-independent effect sizes is that the effect sizes of the independent samples are nested within a primary study (Cheung 2019). Although averaging the effect sizes or selecting one effect size within a study may remove </w:t>
      </w:r>
      <w:r w:rsidRPr="00CD2F5C">
        <w:rPr>
          <w:rFonts w:ascii="Cambria" w:hAnsi="Cambria"/>
          <w:sz w:val="24"/>
          <w:szCs w:val="24"/>
        </w:rPr>
        <w:lastRenderedPageBreak/>
        <w:t xml:space="preserve">valuable within-study variations stemming from potential moderators, the effect sizes within a study may represent different types of measures and conditions. When performing the meta-analysis, there was heterogeneity in the constructed variables measured across studies; therefore, it was not considered prudent to further attempt to synthesize the relationships between effects across psychological measurements that were too heterogeneous across studies in the first place (Cheung 2019).  </w:t>
      </w:r>
      <w:bookmarkEnd w:id="60"/>
      <w:r w:rsidRPr="00CD2F5C">
        <w:rPr>
          <w:rFonts w:ascii="Cambria" w:hAnsi="Cambria"/>
          <w:sz w:val="24"/>
          <w:szCs w:val="24"/>
        </w:rPr>
        <w:t xml:space="preserve">Other limitations included combining the reported findings from multiple countries, as there are different methods or reporting, different types of abuse categories, and potentially different levels of comprehension across translated questionnaires, particularly for abuse and violence and trauma terminology. </w:t>
      </w:r>
    </w:p>
    <w:p w14:paraId="1C37D585"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t>Conclusions</w:t>
      </w:r>
    </w:p>
    <w:p w14:paraId="2507123B" w14:textId="7EF20FBC"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Based on the results of this systematic review, there was a significant association between childhood adversities, anxiety, and chronic pain experiences in adults. </w:t>
      </w:r>
      <w:bookmarkStart w:id="61" w:name="_Hlk114917469"/>
      <w:r w:rsidRPr="00CD2F5C">
        <w:rPr>
          <w:rFonts w:ascii="Cambria" w:hAnsi="Cambria"/>
          <w:sz w:val="24"/>
          <w:szCs w:val="24"/>
        </w:rPr>
        <w:t xml:space="preserve">The meta-analyses showed moderate associations between anxiety and chronic pain as well as between ACEs and anxiety and found that participants who experienced ACEs are almost twice as likely to present chronic pain during adulthood. </w:t>
      </w:r>
      <w:bookmarkEnd w:id="61"/>
      <w:r w:rsidRPr="00CD2F5C">
        <w:rPr>
          <w:rFonts w:ascii="Cambria" w:hAnsi="Cambria"/>
          <w:sz w:val="24"/>
          <w:szCs w:val="24"/>
        </w:rPr>
        <w:t xml:space="preserve">Providers, educators, and those who work in mental health with adults who suffer from anxiety and chronic pain may benefit by also screening for a history of adversity, so they can more comprehensively support their patients/staff/students, potentially through a broader range of available treatments, and help them </w:t>
      </w:r>
      <w:r w:rsidR="009166A4">
        <w:rPr>
          <w:rFonts w:ascii="Cambria" w:hAnsi="Cambria"/>
          <w:sz w:val="24"/>
          <w:szCs w:val="24"/>
        </w:rPr>
        <w:t xml:space="preserve">improve their resilience and </w:t>
      </w:r>
      <w:r w:rsidRPr="00CD2F5C">
        <w:rPr>
          <w:rFonts w:ascii="Cambria" w:hAnsi="Cambria"/>
          <w:sz w:val="24"/>
          <w:szCs w:val="24"/>
        </w:rPr>
        <w:t xml:space="preserve">achieve </w:t>
      </w:r>
      <w:r w:rsidR="009166A4">
        <w:rPr>
          <w:rFonts w:ascii="Cambria" w:hAnsi="Cambria"/>
          <w:sz w:val="24"/>
          <w:szCs w:val="24"/>
        </w:rPr>
        <w:t xml:space="preserve">more </w:t>
      </w:r>
      <w:r w:rsidRPr="00CD2F5C">
        <w:rPr>
          <w:rFonts w:ascii="Cambria" w:hAnsi="Cambria"/>
          <w:sz w:val="24"/>
          <w:szCs w:val="24"/>
        </w:rPr>
        <w:t>positive outcomes in adult life</w:t>
      </w:r>
      <w:r w:rsidR="009166A4">
        <w:rPr>
          <w:rFonts w:ascii="Cambria" w:hAnsi="Cambria"/>
          <w:sz w:val="24"/>
          <w:szCs w:val="24"/>
        </w:rPr>
        <w:t>.</w:t>
      </w:r>
    </w:p>
    <w:p w14:paraId="1B531CC8"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br w:type="page"/>
      </w:r>
      <w:r w:rsidRPr="00CD2F5C">
        <w:rPr>
          <w:rFonts w:ascii="Cambria" w:hAnsi="Cambria"/>
          <w:b/>
          <w:bCs/>
          <w:sz w:val="24"/>
          <w:szCs w:val="24"/>
        </w:rPr>
        <w:lastRenderedPageBreak/>
        <w:t>Chapter 2 references</w:t>
      </w:r>
    </w:p>
    <w:p w14:paraId="5E83D2BC" w14:textId="77777777" w:rsidR="009832C0" w:rsidRPr="00CD2F5C" w:rsidRDefault="009832C0" w:rsidP="002B0F75">
      <w:pPr>
        <w:spacing w:line="360" w:lineRule="auto"/>
        <w:rPr>
          <w:rFonts w:ascii="Cambria" w:hAnsi="Cambria"/>
          <w:sz w:val="24"/>
          <w:szCs w:val="24"/>
        </w:rPr>
      </w:pPr>
      <w:bookmarkStart w:id="62" w:name="_Hlk108346731"/>
      <w:proofErr w:type="spellStart"/>
      <w:r w:rsidRPr="00CD2F5C">
        <w:rPr>
          <w:rFonts w:ascii="Cambria" w:hAnsi="Cambria"/>
          <w:sz w:val="24"/>
          <w:szCs w:val="24"/>
        </w:rPr>
        <w:t>Aromataris</w:t>
      </w:r>
      <w:bookmarkEnd w:id="62"/>
      <w:proofErr w:type="spellEnd"/>
      <w:r w:rsidRPr="00CD2F5C">
        <w:rPr>
          <w:rFonts w:ascii="Cambria" w:hAnsi="Cambria"/>
          <w:sz w:val="24"/>
          <w:szCs w:val="24"/>
        </w:rPr>
        <w:t xml:space="preserve"> E, Munn Z (Editors). JBI Manual for Evidence Synthesis. JBI, 2020. Available from https://synt </w:t>
      </w:r>
      <w:proofErr w:type="spellStart"/>
      <w:proofErr w:type="gramStart"/>
      <w:r w:rsidRPr="00CD2F5C">
        <w:rPr>
          <w:rFonts w:ascii="Cambria" w:hAnsi="Cambria"/>
          <w:sz w:val="24"/>
          <w:szCs w:val="24"/>
        </w:rPr>
        <w:t>hesismanual.jbi.global</w:t>
      </w:r>
      <w:proofErr w:type="spellEnd"/>
      <w:proofErr w:type="gramEnd"/>
      <w:r w:rsidRPr="00CD2F5C">
        <w:rPr>
          <w:rFonts w:ascii="Cambria" w:hAnsi="Cambria"/>
          <w:sz w:val="24"/>
          <w:szCs w:val="24"/>
        </w:rPr>
        <w:t xml:space="preserve">. </w:t>
      </w:r>
      <w:hyperlink r:id="rId42" w:history="1">
        <w:r w:rsidRPr="00CD2F5C">
          <w:rPr>
            <w:rStyle w:val="Hyperlink"/>
            <w:rFonts w:ascii="Cambria" w:hAnsi="Cambria"/>
            <w:sz w:val="24"/>
            <w:szCs w:val="24"/>
          </w:rPr>
          <w:t>https://doi.org/10.46658/JBIMES-20-01</w:t>
        </w:r>
      </w:hyperlink>
      <w:r w:rsidRPr="00CD2F5C">
        <w:rPr>
          <w:rFonts w:ascii="Cambria" w:hAnsi="Cambria"/>
          <w:sz w:val="24"/>
          <w:szCs w:val="24"/>
        </w:rPr>
        <w:t>.</w:t>
      </w:r>
    </w:p>
    <w:p w14:paraId="02386B57"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Bhui</w:t>
      </w:r>
      <w:proofErr w:type="spellEnd"/>
      <w:r w:rsidRPr="00CD2F5C">
        <w:rPr>
          <w:rFonts w:ascii="Cambria" w:hAnsi="Cambria"/>
          <w:sz w:val="24"/>
          <w:szCs w:val="24"/>
        </w:rPr>
        <w:t xml:space="preserve"> K, Dinos S, Galant-</w:t>
      </w:r>
      <w:proofErr w:type="spellStart"/>
      <w:r w:rsidRPr="00CD2F5C">
        <w:rPr>
          <w:rFonts w:ascii="Cambria" w:hAnsi="Cambria"/>
          <w:sz w:val="24"/>
          <w:szCs w:val="24"/>
        </w:rPr>
        <w:t>Miecznikowska</w:t>
      </w:r>
      <w:proofErr w:type="spellEnd"/>
      <w:r w:rsidRPr="00CD2F5C">
        <w:rPr>
          <w:rFonts w:ascii="Cambria" w:hAnsi="Cambria"/>
          <w:sz w:val="24"/>
          <w:szCs w:val="24"/>
        </w:rPr>
        <w:t xml:space="preserve"> M, de Jongh B, Stansfeld S. Perceptions of work stress causes and effective interventions in employees working in public, private and non-governmental organisations: a qualitative study. </w:t>
      </w:r>
      <w:proofErr w:type="spellStart"/>
      <w:r w:rsidRPr="00CD2F5C">
        <w:rPr>
          <w:rFonts w:ascii="Cambria" w:hAnsi="Cambria"/>
          <w:i/>
          <w:iCs/>
          <w:sz w:val="24"/>
          <w:szCs w:val="24"/>
        </w:rPr>
        <w:t>BJPsych</w:t>
      </w:r>
      <w:proofErr w:type="spellEnd"/>
      <w:r w:rsidRPr="00CD2F5C">
        <w:rPr>
          <w:rFonts w:ascii="Cambria" w:hAnsi="Cambria"/>
          <w:i/>
          <w:iCs/>
          <w:sz w:val="24"/>
          <w:szCs w:val="24"/>
        </w:rPr>
        <w:t xml:space="preserve"> Bull</w:t>
      </w:r>
      <w:r w:rsidRPr="00CD2F5C">
        <w:rPr>
          <w:rFonts w:ascii="Cambria" w:hAnsi="Cambria"/>
          <w:sz w:val="24"/>
          <w:szCs w:val="24"/>
        </w:rPr>
        <w:t>. 2016;40(6):318-325. doi:10.1192/pb.bp.115.050823.</w:t>
      </w:r>
    </w:p>
    <w:p w14:paraId="497A917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Bremner JD. Traumatic stress: effects on the brain. </w:t>
      </w:r>
      <w:r w:rsidRPr="00CD2F5C">
        <w:rPr>
          <w:rFonts w:ascii="Cambria" w:hAnsi="Cambria"/>
          <w:i/>
          <w:iCs/>
          <w:sz w:val="24"/>
          <w:szCs w:val="24"/>
        </w:rPr>
        <w:t xml:space="preserve">Dialogues Clin </w:t>
      </w:r>
      <w:proofErr w:type="spellStart"/>
      <w:r w:rsidRPr="00CD2F5C">
        <w:rPr>
          <w:rFonts w:ascii="Cambria" w:hAnsi="Cambria"/>
          <w:i/>
          <w:iCs/>
          <w:sz w:val="24"/>
          <w:szCs w:val="24"/>
        </w:rPr>
        <w:t>Neurosci</w:t>
      </w:r>
      <w:proofErr w:type="spellEnd"/>
      <w:r w:rsidRPr="00CD2F5C">
        <w:rPr>
          <w:rFonts w:ascii="Cambria" w:hAnsi="Cambria"/>
          <w:sz w:val="24"/>
          <w:szCs w:val="24"/>
        </w:rPr>
        <w:t>. 2006;8(4):445-461. doi:10.31887/DCNS.2006.8.4/</w:t>
      </w:r>
      <w:proofErr w:type="spellStart"/>
      <w:r w:rsidRPr="00CD2F5C">
        <w:rPr>
          <w:rFonts w:ascii="Cambria" w:hAnsi="Cambria"/>
          <w:sz w:val="24"/>
          <w:szCs w:val="24"/>
        </w:rPr>
        <w:t>jbremner</w:t>
      </w:r>
      <w:proofErr w:type="spellEnd"/>
      <w:r w:rsidRPr="00CD2F5C">
        <w:rPr>
          <w:rFonts w:ascii="Cambria" w:hAnsi="Cambria"/>
          <w:sz w:val="24"/>
          <w:szCs w:val="24"/>
        </w:rPr>
        <w:t>.</w:t>
      </w:r>
    </w:p>
    <w:p w14:paraId="7E2A75A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Brown, R. C., Plener, P. L., </w:t>
      </w:r>
      <w:proofErr w:type="spellStart"/>
      <w:r w:rsidRPr="00CD2F5C">
        <w:rPr>
          <w:rFonts w:ascii="Cambria" w:hAnsi="Cambria"/>
          <w:sz w:val="24"/>
          <w:szCs w:val="24"/>
        </w:rPr>
        <w:t>Braehler</w:t>
      </w:r>
      <w:proofErr w:type="spellEnd"/>
      <w:r w:rsidRPr="00CD2F5C">
        <w:rPr>
          <w:rFonts w:ascii="Cambria" w:hAnsi="Cambria"/>
          <w:sz w:val="24"/>
          <w:szCs w:val="24"/>
        </w:rPr>
        <w:t xml:space="preserve">, E., Fegert, J. M., &amp; Huber‐Lang, M. (2018). Associations of adverse childhood experiences and bullying on physical pain in the general population of Germany. </w:t>
      </w:r>
      <w:r w:rsidRPr="00CD2F5C">
        <w:rPr>
          <w:rFonts w:ascii="Cambria" w:hAnsi="Cambria"/>
          <w:i/>
          <w:iCs/>
          <w:sz w:val="24"/>
          <w:szCs w:val="24"/>
        </w:rPr>
        <w:t>Journal of pain research</w:t>
      </w:r>
      <w:r w:rsidRPr="00CD2F5C">
        <w:rPr>
          <w:rFonts w:ascii="Cambria" w:hAnsi="Cambria"/>
          <w:sz w:val="24"/>
          <w:szCs w:val="24"/>
        </w:rPr>
        <w:t xml:space="preserve">, </w:t>
      </w:r>
      <w:r w:rsidRPr="00CD2F5C">
        <w:rPr>
          <w:rFonts w:ascii="Cambria" w:hAnsi="Cambria"/>
          <w:i/>
          <w:iCs/>
          <w:sz w:val="24"/>
          <w:szCs w:val="24"/>
        </w:rPr>
        <w:t>11</w:t>
      </w:r>
      <w:r w:rsidRPr="00CD2F5C">
        <w:rPr>
          <w:rFonts w:ascii="Cambria" w:hAnsi="Cambria"/>
          <w:sz w:val="24"/>
          <w:szCs w:val="24"/>
        </w:rPr>
        <w:t xml:space="preserve">, 3099–3108. Doi:10.2147/JPR.S169135. </w:t>
      </w:r>
    </w:p>
    <w:p w14:paraId="3DF0F4E4"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Bussières</w:t>
      </w:r>
      <w:proofErr w:type="spellEnd"/>
      <w:r w:rsidRPr="00CD2F5C">
        <w:rPr>
          <w:rFonts w:ascii="Cambria" w:hAnsi="Cambria"/>
          <w:sz w:val="24"/>
          <w:szCs w:val="24"/>
        </w:rPr>
        <w:t>, A., Hartvigsen, J., Ferreira, M.L. </w:t>
      </w:r>
      <w:r w:rsidRPr="00CD2F5C">
        <w:rPr>
          <w:rFonts w:ascii="Cambria" w:hAnsi="Cambria"/>
          <w:i/>
          <w:iCs/>
          <w:sz w:val="24"/>
          <w:szCs w:val="24"/>
        </w:rPr>
        <w:t>et al.</w:t>
      </w:r>
      <w:r w:rsidRPr="00CD2F5C">
        <w:rPr>
          <w:rFonts w:ascii="Cambria" w:hAnsi="Cambria"/>
          <w:sz w:val="24"/>
          <w:szCs w:val="24"/>
        </w:rPr>
        <w:t> Adverse childhood experience and adult persistent pain and disability: protocol for a systematic review and meta-analysis. </w:t>
      </w:r>
      <w:proofErr w:type="spellStart"/>
      <w:r w:rsidRPr="00CD2F5C">
        <w:rPr>
          <w:rFonts w:ascii="Cambria" w:hAnsi="Cambria"/>
          <w:i/>
          <w:iCs/>
          <w:sz w:val="24"/>
          <w:szCs w:val="24"/>
        </w:rPr>
        <w:t>Syst</w:t>
      </w:r>
      <w:proofErr w:type="spellEnd"/>
      <w:r w:rsidRPr="00CD2F5C">
        <w:rPr>
          <w:rFonts w:ascii="Cambria" w:hAnsi="Cambria"/>
          <w:i/>
          <w:iCs/>
          <w:sz w:val="24"/>
          <w:szCs w:val="24"/>
        </w:rPr>
        <w:t xml:space="preserve"> Rev</w:t>
      </w:r>
      <w:r w:rsidRPr="00CD2F5C">
        <w:rPr>
          <w:rFonts w:ascii="Cambria" w:hAnsi="Cambria"/>
          <w:sz w:val="24"/>
          <w:szCs w:val="24"/>
        </w:rPr>
        <w:t> </w:t>
      </w:r>
      <w:r w:rsidRPr="00CD2F5C">
        <w:rPr>
          <w:rFonts w:ascii="Cambria" w:hAnsi="Cambria"/>
          <w:b/>
          <w:bCs/>
          <w:sz w:val="24"/>
          <w:szCs w:val="24"/>
        </w:rPr>
        <w:t>9</w:t>
      </w:r>
      <w:r w:rsidRPr="00CD2F5C">
        <w:rPr>
          <w:rFonts w:ascii="Cambria" w:hAnsi="Cambria"/>
          <w:sz w:val="24"/>
          <w:szCs w:val="24"/>
        </w:rPr>
        <w:t xml:space="preserve">, 215 (2020). </w:t>
      </w:r>
      <w:hyperlink r:id="rId43" w:history="1">
        <w:r w:rsidRPr="00CD2F5C">
          <w:rPr>
            <w:rStyle w:val="Hyperlink"/>
            <w:rFonts w:ascii="Cambria" w:hAnsi="Cambria"/>
            <w:sz w:val="24"/>
            <w:szCs w:val="24"/>
          </w:rPr>
          <w:t>https://doi.org/10.1186/s13643-020-01474-8</w:t>
        </w:r>
      </w:hyperlink>
      <w:r w:rsidRPr="00CD2F5C">
        <w:rPr>
          <w:rFonts w:ascii="Cambria" w:hAnsi="Cambria"/>
          <w:sz w:val="24"/>
          <w:szCs w:val="24"/>
          <w:u w:val="single"/>
        </w:rPr>
        <w:t>.</w:t>
      </w:r>
      <w:r w:rsidRPr="00CD2F5C">
        <w:rPr>
          <w:rFonts w:ascii="Cambria" w:hAnsi="Cambria"/>
          <w:sz w:val="24"/>
          <w:szCs w:val="24"/>
        </w:rPr>
        <w:t xml:space="preserve"> </w:t>
      </w:r>
    </w:p>
    <w:p w14:paraId="5FEFABAA"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Centers</w:t>
      </w:r>
      <w:proofErr w:type="spellEnd"/>
      <w:r w:rsidRPr="00CD2F5C">
        <w:rPr>
          <w:rFonts w:ascii="Cambria" w:hAnsi="Cambria"/>
          <w:sz w:val="24"/>
          <w:szCs w:val="24"/>
        </w:rPr>
        <w:t xml:space="preserve"> for Disease Control and Prevention (CDC). Adverse Childhood Experiences (ACEs). (2022). </w:t>
      </w:r>
      <w:hyperlink r:id="rId44" w:history="1">
        <w:r w:rsidRPr="00CD2F5C">
          <w:rPr>
            <w:rStyle w:val="Hyperlink"/>
            <w:rFonts w:ascii="Cambria" w:hAnsi="Cambria"/>
            <w:sz w:val="24"/>
            <w:szCs w:val="24"/>
          </w:rPr>
          <w:t>https://www.cdc.gov/violenceprevention/aces/index.html</w:t>
        </w:r>
      </w:hyperlink>
      <w:r w:rsidRPr="00CD2F5C">
        <w:rPr>
          <w:rFonts w:ascii="Cambria" w:hAnsi="Cambria"/>
          <w:sz w:val="24"/>
          <w:szCs w:val="24"/>
        </w:rPr>
        <w:t>. Accessed 21 April 2022.</w:t>
      </w:r>
    </w:p>
    <w:p w14:paraId="089974A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Chan AW, Bilger E, Griffin S, </w:t>
      </w:r>
      <w:proofErr w:type="spellStart"/>
      <w:r w:rsidRPr="00CD2F5C">
        <w:rPr>
          <w:rFonts w:ascii="Cambria" w:hAnsi="Cambria"/>
          <w:sz w:val="24"/>
          <w:szCs w:val="24"/>
        </w:rPr>
        <w:t>Elkis</w:t>
      </w:r>
      <w:proofErr w:type="spellEnd"/>
      <w:r w:rsidRPr="00CD2F5C">
        <w:rPr>
          <w:rFonts w:ascii="Cambria" w:hAnsi="Cambria"/>
          <w:sz w:val="24"/>
          <w:szCs w:val="24"/>
        </w:rPr>
        <w:t xml:space="preserve"> V, Weeks S, Hussey-Anderson L, </w:t>
      </w:r>
      <w:proofErr w:type="spellStart"/>
      <w:r w:rsidRPr="00CD2F5C">
        <w:rPr>
          <w:rFonts w:ascii="Cambria" w:hAnsi="Cambria"/>
          <w:sz w:val="24"/>
          <w:szCs w:val="24"/>
        </w:rPr>
        <w:t>Pasquina</w:t>
      </w:r>
      <w:proofErr w:type="spellEnd"/>
      <w:r w:rsidRPr="00CD2F5C">
        <w:rPr>
          <w:rFonts w:ascii="Cambria" w:hAnsi="Cambria"/>
          <w:sz w:val="24"/>
          <w:szCs w:val="24"/>
        </w:rPr>
        <w:t xml:space="preserve"> PF, Tsao JW, Baker CI. (2019). Visual responsiveness in sensorimotor cortex is increased following amputation and reduced after mirror therapy. </w:t>
      </w:r>
      <w:r w:rsidRPr="00CD2F5C">
        <w:rPr>
          <w:rFonts w:ascii="Cambria" w:hAnsi="Cambria"/>
          <w:i/>
          <w:iCs/>
          <w:sz w:val="24"/>
          <w:szCs w:val="24"/>
        </w:rPr>
        <w:t>Neuroimage Clin</w:t>
      </w:r>
      <w:r w:rsidRPr="00CD2F5C">
        <w:rPr>
          <w:rFonts w:ascii="Cambria" w:hAnsi="Cambria"/>
          <w:sz w:val="24"/>
          <w:szCs w:val="24"/>
        </w:rPr>
        <w:t xml:space="preserve">. 23:101882. </w:t>
      </w:r>
      <w:proofErr w:type="spellStart"/>
      <w:r w:rsidRPr="00CD2F5C">
        <w:rPr>
          <w:rFonts w:ascii="Cambria" w:hAnsi="Cambria"/>
          <w:sz w:val="24"/>
          <w:szCs w:val="24"/>
        </w:rPr>
        <w:t>doi</w:t>
      </w:r>
      <w:proofErr w:type="spellEnd"/>
      <w:r w:rsidRPr="00CD2F5C">
        <w:rPr>
          <w:rFonts w:ascii="Cambria" w:hAnsi="Cambria"/>
          <w:sz w:val="24"/>
          <w:szCs w:val="24"/>
        </w:rPr>
        <w:t>: 10.1016/j.nicl.2019.101882. </w:t>
      </w:r>
    </w:p>
    <w:p w14:paraId="021BC5C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Cheung, M.WL. A Guide to Conducting a Meta-Analysis with Non-Independent Effect Sizes. </w:t>
      </w:r>
      <w:proofErr w:type="spellStart"/>
      <w:r w:rsidRPr="00CD2F5C">
        <w:rPr>
          <w:rFonts w:ascii="Cambria" w:hAnsi="Cambria"/>
          <w:i/>
          <w:iCs/>
          <w:sz w:val="24"/>
          <w:szCs w:val="24"/>
        </w:rPr>
        <w:t>Neuropsychol</w:t>
      </w:r>
      <w:proofErr w:type="spellEnd"/>
      <w:r w:rsidRPr="00CD2F5C">
        <w:rPr>
          <w:rFonts w:ascii="Cambria" w:hAnsi="Cambria"/>
          <w:i/>
          <w:iCs/>
          <w:sz w:val="24"/>
          <w:szCs w:val="24"/>
        </w:rPr>
        <w:t xml:space="preserve"> Rev</w:t>
      </w:r>
      <w:r w:rsidRPr="00CD2F5C">
        <w:rPr>
          <w:rFonts w:ascii="Cambria" w:hAnsi="Cambria"/>
          <w:sz w:val="24"/>
          <w:szCs w:val="24"/>
        </w:rPr>
        <w:t> 29, 387–396 (2019). https://doi.org/10.1007/s11065-019-09415-6.</w:t>
      </w:r>
    </w:p>
    <w:p w14:paraId="7E7EA70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Clark, L. A., Cuthbert, B., Lewis-Fernández, R., Narrow, W. E., &amp; Reed, G. M. (2017). Three Approaches to Understanding and Classifying Mental Disorder: ICD-11, DSM-5, and the </w:t>
      </w:r>
      <w:r w:rsidRPr="00CD2F5C">
        <w:rPr>
          <w:rFonts w:ascii="Cambria" w:hAnsi="Cambria"/>
          <w:sz w:val="24"/>
          <w:szCs w:val="24"/>
        </w:rPr>
        <w:lastRenderedPageBreak/>
        <w:t>National Institute of Mental Health’s Research Domain Criteria (</w:t>
      </w:r>
      <w:proofErr w:type="spellStart"/>
      <w:r w:rsidRPr="00CD2F5C">
        <w:rPr>
          <w:rFonts w:ascii="Cambria" w:hAnsi="Cambria"/>
          <w:sz w:val="24"/>
          <w:szCs w:val="24"/>
        </w:rPr>
        <w:t>RDoC</w:t>
      </w:r>
      <w:proofErr w:type="spellEnd"/>
      <w:r w:rsidRPr="00CD2F5C">
        <w:rPr>
          <w:rFonts w:ascii="Cambria" w:hAnsi="Cambria"/>
          <w:sz w:val="24"/>
          <w:szCs w:val="24"/>
        </w:rPr>
        <w:t>). </w:t>
      </w:r>
      <w:r w:rsidRPr="00CD2F5C">
        <w:rPr>
          <w:rFonts w:ascii="Cambria" w:hAnsi="Cambria"/>
          <w:i/>
          <w:iCs/>
          <w:sz w:val="24"/>
          <w:szCs w:val="24"/>
        </w:rPr>
        <w:t>Psychological Science in the Public Interest</w:t>
      </w:r>
      <w:r w:rsidRPr="00CD2F5C">
        <w:rPr>
          <w:rFonts w:ascii="Cambria" w:hAnsi="Cambria"/>
          <w:sz w:val="24"/>
          <w:szCs w:val="24"/>
        </w:rPr>
        <w:t>, </w:t>
      </w:r>
      <w:r w:rsidRPr="00CD2F5C">
        <w:rPr>
          <w:rFonts w:ascii="Cambria" w:hAnsi="Cambria"/>
          <w:i/>
          <w:iCs/>
          <w:sz w:val="24"/>
          <w:szCs w:val="24"/>
        </w:rPr>
        <w:t>18</w:t>
      </w:r>
      <w:r w:rsidRPr="00CD2F5C">
        <w:rPr>
          <w:rFonts w:ascii="Cambria" w:hAnsi="Cambria"/>
          <w:sz w:val="24"/>
          <w:szCs w:val="24"/>
        </w:rPr>
        <w:t>(2), 72–145. </w:t>
      </w:r>
      <w:hyperlink r:id="rId45" w:history="1">
        <w:r w:rsidRPr="00CD2F5C">
          <w:rPr>
            <w:rStyle w:val="Hyperlink"/>
            <w:rFonts w:ascii="Cambria" w:hAnsi="Cambria"/>
            <w:sz w:val="24"/>
            <w:szCs w:val="24"/>
          </w:rPr>
          <w:t>https://doi.org/10.1177/1529100617727266</w:t>
        </w:r>
      </w:hyperlink>
      <w:r w:rsidRPr="00CD2F5C">
        <w:rPr>
          <w:rFonts w:ascii="Cambria" w:hAnsi="Cambria"/>
          <w:sz w:val="24"/>
          <w:szCs w:val="24"/>
        </w:rPr>
        <w:t>.</w:t>
      </w:r>
    </w:p>
    <w:p w14:paraId="5BDB761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Critical Appraisal Skills Programme (2022). CASP Systematic Review Checklist. [online] Available at:  </w:t>
      </w:r>
      <w:hyperlink r:id="rId46" w:history="1">
        <w:r w:rsidRPr="00CD2F5C">
          <w:rPr>
            <w:rStyle w:val="Hyperlink"/>
            <w:rFonts w:ascii="Cambria" w:hAnsi="Cambria"/>
            <w:sz w:val="24"/>
            <w:szCs w:val="24"/>
          </w:rPr>
          <w:t>https://casp-uk.net/casp-tools-checklists</w:t>
        </w:r>
      </w:hyperlink>
      <w:r w:rsidRPr="00CD2F5C">
        <w:rPr>
          <w:rFonts w:ascii="Cambria" w:hAnsi="Cambria"/>
          <w:sz w:val="24"/>
          <w:szCs w:val="24"/>
        </w:rPr>
        <w:t>. Accessed: 30 July 2022.</w:t>
      </w:r>
    </w:p>
    <w:p w14:paraId="0D4D3A94"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Crocq</w:t>
      </w:r>
      <w:proofErr w:type="spellEnd"/>
      <w:r w:rsidRPr="00CD2F5C">
        <w:rPr>
          <w:rFonts w:ascii="Cambria" w:hAnsi="Cambria"/>
          <w:sz w:val="24"/>
          <w:szCs w:val="24"/>
        </w:rPr>
        <w:t xml:space="preserve"> M. A. (2015). A history of anxiety: from Hippocrates to DSM. </w:t>
      </w:r>
      <w:r w:rsidRPr="00CD2F5C">
        <w:rPr>
          <w:rFonts w:ascii="Cambria" w:hAnsi="Cambria"/>
          <w:i/>
          <w:iCs/>
          <w:sz w:val="24"/>
          <w:szCs w:val="24"/>
        </w:rPr>
        <w:t>Dialogues in clinical neuroscience,</w:t>
      </w:r>
      <w:r w:rsidRPr="00CD2F5C">
        <w:rPr>
          <w:rFonts w:ascii="Cambria" w:hAnsi="Cambria"/>
          <w:sz w:val="24"/>
          <w:szCs w:val="24"/>
        </w:rPr>
        <w:t xml:space="preserve"> 17(3), 319–325. </w:t>
      </w:r>
    </w:p>
    <w:p w14:paraId="66CCEF6B" w14:textId="77777777" w:rsidR="009832C0" w:rsidRPr="00CD2F5C" w:rsidRDefault="009832C0" w:rsidP="002B0F75">
      <w:pPr>
        <w:spacing w:line="360" w:lineRule="auto"/>
        <w:rPr>
          <w:rFonts w:ascii="Cambria" w:hAnsi="Cambria"/>
          <w:i/>
          <w:iCs/>
          <w:sz w:val="24"/>
          <w:szCs w:val="24"/>
        </w:rPr>
      </w:pPr>
      <w:r w:rsidRPr="00CD2F5C">
        <w:rPr>
          <w:rFonts w:ascii="Cambria" w:hAnsi="Cambria"/>
          <w:sz w:val="24"/>
          <w:szCs w:val="24"/>
        </w:rPr>
        <w:t xml:space="preserve">Diagnostic and Statistical Manual (DSM) of Mental Disorders (2013). 5th ed. Arlington, VA: </w:t>
      </w:r>
      <w:r w:rsidRPr="00CD2F5C">
        <w:rPr>
          <w:rFonts w:ascii="Cambria" w:hAnsi="Cambria"/>
          <w:i/>
          <w:iCs/>
          <w:sz w:val="24"/>
          <w:szCs w:val="24"/>
        </w:rPr>
        <w:t xml:space="preserve">American Psychiatric Association. </w:t>
      </w:r>
    </w:p>
    <w:p w14:paraId="5F09C9CA" w14:textId="77777777" w:rsidR="009832C0" w:rsidRPr="00CD2F5C" w:rsidRDefault="009832C0" w:rsidP="002B0F75">
      <w:pPr>
        <w:spacing w:line="360" w:lineRule="auto"/>
        <w:rPr>
          <w:rFonts w:ascii="Cambria" w:hAnsi="Cambria"/>
          <w:sz w:val="24"/>
          <w:szCs w:val="24"/>
        </w:rPr>
      </w:pPr>
      <w:bookmarkStart w:id="63" w:name="_Hlk101464443"/>
      <w:r w:rsidRPr="00CD2F5C">
        <w:rPr>
          <w:rFonts w:ascii="Cambria" w:hAnsi="Cambria"/>
          <w:sz w:val="24"/>
          <w:szCs w:val="24"/>
        </w:rPr>
        <w:t>Dueñas</w:t>
      </w:r>
      <w:bookmarkEnd w:id="63"/>
      <w:r w:rsidRPr="00CD2F5C">
        <w:rPr>
          <w:rFonts w:ascii="Cambria" w:hAnsi="Cambria"/>
          <w:sz w:val="24"/>
          <w:szCs w:val="24"/>
        </w:rPr>
        <w:t xml:space="preserve"> M, Ojeda B, Salazar A, Mico JA, Failde I. A review of chronic pain impact on patients, their social environment and the health care system. </w:t>
      </w:r>
      <w:r w:rsidRPr="00CD2F5C">
        <w:rPr>
          <w:rFonts w:ascii="Cambria" w:hAnsi="Cambria"/>
          <w:i/>
          <w:iCs/>
          <w:sz w:val="24"/>
          <w:szCs w:val="24"/>
        </w:rPr>
        <w:t>J Pain Res</w:t>
      </w:r>
      <w:r w:rsidRPr="00CD2F5C">
        <w:rPr>
          <w:rFonts w:ascii="Cambria" w:hAnsi="Cambria"/>
          <w:sz w:val="24"/>
          <w:szCs w:val="24"/>
        </w:rPr>
        <w:t xml:space="preserve">. </w:t>
      </w:r>
      <w:proofErr w:type="gramStart"/>
      <w:r w:rsidRPr="00CD2F5C">
        <w:rPr>
          <w:rFonts w:ascii="Cambria" w:hAnsi="Cambria"/>
          <w:sz w:val="24"/>
          <w:szCs w:val="24"/>
        </w:rPr>
        <w:t>2016;9:457</w:t>
      </w:r>
      <w:proofErr w:type="gramEnd"/>
      <w:r w:rsidRPr="00CD2F5C">
        <w:rPr>
          <w:rFonts w:ascii="Cambria" w:hAnsi="Cambria"/>
          <w:sz w:val="24"/>
          <w:szCs w:val="24"/>
        </w:rPr>
        <w:t>-467. Published 2016 Jun 28. doi:10.2147/JPR.S105892.</w:t>
      </w:r>
    </w:p>
    <w:p w14:paraId="158F362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Elmore AL, Crouch E. The Association of Adverse Childhood Experiences </w:t>
      </w:r>
      <w:proofErr w:type="gramStart"/>
      <w:r w:rsidRPr="00CD2F5C">
        <w:rPr>
          <w:rFonts w:ascii="Cambria" w:hAnsi="Cambria"/>
          <w:sz w:val="24"/>
          <w:szCs w:val="24"/>
        </w:rPr>
        <w:t>With</w:t>
      </w:r>
      <w:proofErr w:type="gramEnd"/>
      <w:r w:rsidRPr="00CD2F5C">
        <w:rPr>
          <w:rFonts w:ascii="Cambria" w:hAnsi="Cambria"/>
          <w:sz w:val="24"/>
          <w:szCs w:val="24"/>
        </w:rPr>
        <w:t xml:space="preserve"> Anxiety and Depression for Children and Youth, 8 to 17 Years of Age. </w:t>
      </w:r>
      <w:proofErr w:type="spellStart"/>
      <w:r w:rsidRPr="00CD2F5C">
        <w:rPr>
          <w:rFonts w:ascii="Cambria" w:hAnsi="Cambria"/>
          <w:sz w:val="24"/>
          <w:szCs w:val="24"/>
        </w:rPr>
        <w:t>Acad</w:t>
      </w:r>
      <w:proofErr w:type="spellEnd"/>
      <w:r w:rsidRPr="00CD2F5C">
        <w:rPr>
          <w:rFonts w:ascii="Cambria" w:hAnsi="Cambria"/>
          <w:sz w:val="24"/>
          <w:szCs w:val="24"/>
        </w:rPr>
        <w:t xml:space="preserve"> </w:t>
      </w:r>
      <w:proofErr w:type="spellStart"/>
      <w:r w:rsidRPr="00CD2F5C">
        <w:rPr>
          <w:rFonts w:ascii="Cambria" w:hAnsi="Cambria"/>
          <w:sz w:val="24"/>
          <w:szCs w:val="24"/>
        </w:rPr>
        <w:t>Pediatr</w:t>
      </w:r>
      <w:proofErr w:type="spellEnd"/>
      <w:r w:rsidRPr="00CD2F5C">
        <w:rPr>
          <w:rFonts w:ascii="Cambria" w:hAnsi="Cambria"/>
          <w:sz w:val="24"/>
          <w:szCs w:val="24"/>
        </w:rPr>
        <w:t xml:space="preserve">. 2020 Jul;20(5):600-608. Doi: 10.1016/j.acap.2020.02.012. </w:t>
      </w:r>
    </w:p>
    <w:p w14:paraId="321C717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Giano, Z., Wheeler, D.L. &amp; Hubach, R.D. The frequencies and disparities of adverse childhood experiences in the U.S. </w:t>
      </w:r>
      <w:r w:rsidRPr="00CD2F5C">
        <w:rPr>
          <w:rFonts w:ascii="Cambria" w:hAnsi="Cambria"/>
          <w:i/>
          <w:iCs/>
          <w:sz w:val="24"/>
          <w:szCs w:val="24"/>
        </w:rPr>
        <w:t>BMC Public Health</w:t>
      </w:r>
      <w:r w:rsidRPr="00CD2F5C">
        <w:rPr>
          <w:rFonts w:ascii="Cambria" w:hAnsi="Cambria"/>
          <w:sz w:val="24"/>
          <w:szCs w:val="24"/>
        </w:rPr>
        <w:t> 20,</w:t>
      </w:r>
      <w:r w:rsidRPr="00CD2F5C">
        <w:rPr>
          <w:rFonts w:ascii="Cambria" w:hAnsi="Cambria"/>
          <w:b/>
          <w:bCs/>
          <w:sz w:val="24"/>
          <w:szCs w:val="24"/>
        </w:rPr>
        <w:t> </w:t>
      </w:r>
      <w:r w:rsidRPr="00CD2F5C">
        <w:rPr>
          <w:rFonts w:ascii="Cambria" w:hAnsi="Cambria"/>
          <w:sz w:val="24"/>
          <w:szCs w:val="24"/>
        </w:rPr>
        <w:t xml:space="preserve">1327 (2020). https://doi.org/10.1186/s12889-020-09411-z. </w:t>
      </w:r>
    </w:p>
    <w:p w14:paraId="0839EE80" w14:textId="77777777" w:rsidR="009832C0" w:rsidRPr="00CD2F5C" w:rsidRDefault="009832C0" w:rsidP="002B0F75">
      <w:pPr>
        <w:spacing w:line="360" w:lineRule="auto"/>
        <w:rPr>
          <w:rFonts w:ascii="Cambria" w:hAnsi="Cambria"/>
          <w:sz w:val="24"/>
          <w:szCs w:val="24"/>
        </w:rPr>
      </w:pPr>
      <w:bookmarkStart w:id="64" w:name="_Hlk76236998"/>
      <w:r w:rsidRPr="00CD2F5C">
        <w:rPr>
          <w:rFonts w:ascii="Cambria" w:hAnsi="Cambria"/>
          <w:sz w:val="24"/>
          <w:szCs w:val="24"/>
        </w:rPr>
        <w:t>Groenewald, C. B., Murray, C. B., &amp; Palermo, T. M. (2020). Adverse childhood experiences and chronic pain among children and adolescents in the United States. </w:t>
      </w:r>
      <w:r w:rsidRPr="00CD2F5C">
        <w:rPr>
          <w:rFonts w:ascii="Cambria" w:hAnsi="Cambria"/>
          <w:i/>
          <w:iCs/>
          <w:sz w:val="24"/>
          <w:szCs w:val="24"/>
        </w:rPr>
        <w:t>Pain reports</w:t>
      </w:r>
      <w:r w:rsidRPr="00CD2F5C">
        <w:rPr>
          <w:rFonts w:ascii="Cambria" w:hAnsi="Cambria"/>
          <w:sz w:val="24"/>
          <w:szCs w:val="24"/>
        </w:rPr>
        <w:t>, </w:t>
      </w:r>
      <w:r w:rsidRPr="00CD2F5C">
        <w:rPr>
          <w:rFonts w:ascii="Cambria" w:hAnsi="Cambria"/>
          <w:i/>
          <w:iCs/>
          <w:sz w:val="24"/>
          <w:szCs w:val="24"/>
        </w:rPr>
        <w:t>5</w:t>
      </w:r>
      <w:r w:rsidRPr="00CD2F5C">
        <w:rPr>
          <w:rFonts w:ascii="Cambria" w:hAnsi="Cambria"/>
          <w:sz w:val="24"/>
          <w:szCs w:val="24"/>
        </w:rPr>
        <w:t xml:space="preserve">(5), e839. </w:t>
      </w:r>
      <w:hyperlink r:id="rId47" w:history="1">
        <w:r w:rsidRPr="00CD2F5C">
          <w:rPr>
            <w:rStyle w:val="Hyperlink"/>
            <w:rFonts w:ascii="Cambria" w:hAnsi="Cambria"/>
            <w:sz w:val="24"/>
            <w:szCs w:val="24"/>
          </w:rPr>
          <w:t>https://doi.org/10.1097/PR9.0000000000000839</w:t>
        </w:r>
      </w:hyperlink>
      <w:r w:rsidRPr="00CD2F5C">
        <w:rPr>
          <w:rFonts w:ascii="Cambria" w:hAnsi="Cambria"/>
          <w:sz w:val="24"/>
          <w:szCs w:val="24"/>
          <w:u w:val="single"/>
        </w:rPr>
        <w:t>.</w:t>
      </w:r>
      <w:r w:rsidRPr="00CD2F5C">
        <w:rPr>
          <w:rFonts w:ascii="Cambria" w:hAnsi="Cambria"/>
          <w:sz w:val="24"/>
          <w:szCs w:val="24"/>
        </w:rPr>
        <w:t xml:space="preserve"> </w:t>
      </w:r>
      <w:bookmarkEnd w:id="64"/>
    </w:p>
    <w:p w14:paraId="317F592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Kalia V, </w:t>
      </w:r>
      <w:proofErr w:type="spellStart"/>
      <w:r w:rsidRPr="00CD2F5C">
        <w:rPr>
          <w:rFonts w:ascii="Cambria" w:hAnsi="Cambria"/>
          <w:sz w:val="24"/>
          <w:szCs w:val="24"/>
        </w:rPr>
        <w:t>Knauft</w:t>
      </w:r>
      <w:proofErr w:type="spellEnd"/>
      <w:r w:rsidRPr="00CD2F5C">
        <w:rPr>
          <w:rFonts w:ascii="Cambria" w:hAnsi="Cambria"/>
          <w:sz w:val="24"/>
          <w:szCs w:val="24"/>
        </w:rPr>
        <w:t xml:space="preserve"> K, </w:t>
      </w:r>
      <w:proofErr w:type="spellStart"/>
      <w:r w:rsidRPr="00CD2F5C">
        <w:rPr>
          <w:rFonts w:ascii="Cambria" w:hAnsi="Cambria"/>
          <w:sz w:val="24"/>
          <w:szCs w:val="24"/>
        </w:rPr>
        <w:t>Hayatbini</w:t>
      </w:r>
      <w:proofErr w:type="spellEnd"/>
      <w:r w:rsidRPr="00CD2F5C">
        <w:rPr>
          <w:rFonts w:ascii="Cambria" w:hAnsi="Cambria"/>
          <w:sz w:val="24"/>
          <w:szCs w:val="24"/>
        </w:rPr>
        <w:t xml:space="preserve"> N. Cognitive flexibility and perceived threat from COVID-19 mediate the relationship between childhood maltreatment and state anxiety. </w:t>
      </w:r>
      <w:proofErr w:type="spellStart"/>
      <w:r w:rsidRPr="00CD2F5C">
        <w:rPr>
          <w:rFonts w:ascii="Cambria" w:hAnsi="Cambria"/>
          <w:sz w:val="24"/>
          <w:szCs w:val="24"/>
        </w:rPr>
        <w:t>PLoS</w:t>
      </w:r>
      <w:proofErr w:type="spellEnd"/>
      <w:r w:rsidRPr="00CD2F5C">
        <w:rPr>
          <w:rFonts w:ascii="Cambria" w:hAnsi="Cambria"/>
          <w:sz w:val="24"/>
          <w:szCs w:val="24"/>
        </w:rPr>
        <w:t xml:space="preserve"> One. 2020;15(12</w:t>
      </w:r>
      <w:proofErr w:type="gramStart"/>
      <w:r w:rsidRPr="00CD2F5C">
        <w:rPr>
          <w:rFonts w:ascii="Cambria" w:hAnsi="Cambria"/>
          <w:sz w:val="24"/>
          <w:szCs w:val="24"/>
        </w:rPr>
        <w:t>):e</w:t>
      </w:r>
      <w:proofErr w:type="gramEnd"/>
      <w:r w:rsidRPr="00CD2F5C">
        <w:rPr>
          <w:rFonts w:ascii="Cambria" w:hAnsi="Cambria"/>
          <w:sz w:val="24"/>
          <w:szCs w:val="24"/>
        </w:rPr>
        <w:t xml:space="preserve">0243881. Published 2020 Dec 11. </w:t>
      </w:r>
      <w:proofErr w:type="gramStart"/>
      <w:r w:rsidRPr="00CD2F5C">
        <w:rPr>
          <w:rFonts w:ascii="Cambria" w:hAnsi="Cambria"/>
          <w:sz w:val="24"/>
          <w:szCs w:val="24"/>
        </w:rPr>
        <w:t>doi:10.1371/journal.pone</w:t>
      </w:r>
      <w:proofErr w:type="gramEnd"/>
      <w:r w:rsidRPr="00CD2F5C">
        <w:rPr>
          <w:rFonts w:ascii="Cambria" w:hAnsi="Cambria"/>
          <w:sz w:val="24"/>
          <w:szCs w:val="24"/>
        </w:rPr>
        <w:t xml:space="preserve">.0243881. </w:t>
      </w:r>
    </w:p>
    <w:p w14:paraId="7D8CE16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Merrick MT, Ford DC, Ports KA, et al. (2019). </w:t>
      </w:r>
      <w:r w:rsidRPr="00CD2F5C">
        <w:rPr>
          <w:rFonts w:ascii="Cambria" w:hAnsi="Cambria"/>
          <w:i/>
          <w:iCs/>
          <w:sz w:val="24"/>
          <w:szCs w:val="24"/>
        </w:rPr>
        <w:t>Vital Signs:</w:t>
      </w:r>
      <w:r w:rsidRPr="00CD2F5C">
        <w:rPr>
          <w:rFonts w:ascii="Cambria" w:hAnsi="Cambria"/>
          <w:sz w:val="24"/>
          <w:szCs w:val="24"/>
        </w:rPr>
        <w:t xml:space="preserve"> Estimated Proportion of Adult Health Problems Attributable to Adverse Childhood Experiences and Implications for Prevention — 25 States, 2015–2017. MMWR </w:t>
      </w:r>
      <w:proofErr w:type="spellStart"/>
      <w:r w:rsidRPr="00CD2F5C">
        <w:rPr>
          <w:rFonts w:ascii="Cambria" w:hAnsi="Cambria"/>
          <w:sz w:val="24"/>
          <w:szCs w:val="24"/>
        </w:rPr>
        <w:t>Morb</w:t>
      </w:r>
      <w:proofErr w:type="spellEnd"/>
      <w:r w:rsidRPr="00CD2F5C">
        <w:rPr>
          <w:rFonts w:ascii="Cambria" w:hAnsi="Cambria"/>
          <w:sz w:val="24"/>
          <w:szCs w:val="24"/>
        </w:rPr>
        <w:t xml:space="preserve"> Mortal </w:t>
      </w:r>
      <w:proofErr w:type="spellStart"/>
      <w:r w:rsidRPr="00CD2F5C">
        <w:rPr>
          <w:rFonts w:ascii="Cambria" w:hAnsi="Cambria"/>
          <w:sz w:val="24"/>
          <w:szCs w:val="24"/>
        </w:rPr>
        <w:t>Wkly</w:t>
      </w:r>
      <w:proofErr w:type="spellEnd"/>
      <w:r w:rsidRPr="00CD2F5C">
        <w:rPr>
          <w:rFonts w:ascii="Cambria" w:hAnsi="Cambria"/>
          <w:sz w:val="24"/>
          <w:szCs w:val="24"/>
        </w:rPr>
        <w:t xml:space="preserve"> Rep. 68:999-1005. DOI: </w:t>
      </w:r>
      <w:hyperlink r:id="rId48" w:tgtFrame="_blank" w:history="1">
        <w:r w:rsidRPr="00CD2F5C">
          <w:rPr>
            <w:rStyle w:val="Hyperlink"/>
            <w:rFonts w:ascii="Cambria" w:hAnsi="Cambria"/>
            <w:sz w:val="24"/>
            <w:szCs w:val="24"/>
          </w:rPr>
          <w:t>http://dx.doi.org/10.15585/mmwr.mm6844e1</w:t>
        </w:r>
      </w:hyperlink>
      <w:r w:rsidRPr="00CD2F5C">
        <w:rPr>
          <w:rFonts w:ascii="Cambria" w:hAnsi="Cambria"/>
          <w:sz w:val="24"/>
          <w:szCs w:val="24"/>
        </w:rPr>
        <w:t>.</w:t>
      </w:r>
    </w:p>
    <w:p w14:paraId="20B0D06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 xml:space="preserve">Michopoulos V, Powers A, Gillespie CF, Ressler KJ, Jovanovic T. (2017). Inflammation in Fear- and Anxiety-Based Disorders: PTSD, GAD, and Beyond. Neuropsychopharmacology. 42(1):254-270. </w:t>
      </w:r>
      <w:proofErr w:type="spellStart"/>
      <w:r w:rsidRPr="00CD2F5C">
        <w:rPr>
          <w:rFonts w:ascii="Cambria" w:hAnsi="Cambria"/>
          <w:sz w:val="24"/>
          <w:szCs w:val="24"/>
        </w:rPr>
        <w:t>doi</w:t>
      </w:r>
      <w:proofErr w:type="spellEnd"/>
      <w:r w:rsidRPr="00CD2F5C">
        <w:rPr>
          <w:rFonts w:ascii="Cambria" w:hAnsi="Cambria"/>
          <w:sz w:val="24"/>
          <w:szCs w:val="24"/>
        </w:rPr>
        <w:t>: 10.1038/npp.2016.146. </w:t>
      </w:r>
    </w:p>
    <w:p w14:paraId="3A3846C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Morasco, B. J., Lovejoy, T. I., Lu, M., Turk, D. C., Lewis, L., &amp; </w:t>
      </w:r>
      <w:proofErr w:type="spellStart"/>
      <w:r w:rsidRPr="00CD2F5C">
        <w:rPr>
          <w:rFonts w:ascii="Cambria" w:hAnsi="Cambria"/>
          <w:sz w:val="24"/>
          <w:szCs w:val="24"/>
        </w:rPr>
        <w:t>Dobscha</w:t>
      </w:r>
      <w:proofErr w:type="spellEnd"/>
      <w:r w:rsidRPr="00CD2F5C">
        <w:rPr>
          <w:rFonts w:ascii="Cambria" w:hAnsi="Cambria"/>
          <w:sz w:val="24"/>
          <w:szCs w:val="24"/>
        </w:rPr>
        <w:t>, S. K. (2013). The relationship between PTSD and chronic pain: mediating role of coping strategies and depression. </w:t>
      </w:r>
      <w:r w:rsidRPr="00CD2F5C">
        <w:rPr>
          <w:rFonts w:ascii="Cambria" w:hAnsi="Cambria"/>
          <w:i/>
          <w:iCs/>
          <w:sz w:val="24"/>
          <w:szCs w:val="24"/>
        </w:rPr>
        <w:t>Pain</w:t>
      </w:r>
      <w:r w:rsidRPr="00CD2F5C">
        <w:rPr>
          <w:rFonts w:ascii="Cambria" w:hAnsi="Cambria"/>
          <w:sz w:val="24"/>
          <w:szCs w:val="24"/>
        </w:rPr>
        <w:t>, </w:t>
      </w:r>
      <w:r w:rsidRPr="00CD2F5C">
        <w:rPr>
          <w:rFonts w:ascii="Cambria" w:hAnsi="Cambria"/>
          <w:i/>
          <w:iCs/>
          <w:sz w:val="24"/>
          <w:szCs w:val="24"/>
        </w:rPr>
        <w:t>154</w:t>
      </w:r>
      <w:r w:rsidRPr="00CD2F5C">
        <w:rPr>
          <w:rFonts w:ascii="Cambria" w:hAnsi="Cambria"/>
          <w:sz w:val="24"/>
          <w:szCs w:val="24"/>
        </w:rPr>
        <w:t xml:space="preserve">(4), 609–616. </w:t>
      </w:r>
      <w:hyperlink r:id="rId49">
        <w:r w:rsidRPr="00CD2F5C">
          <w:rPr>
            <w:rStyle w:val="Hyperlink"/>
            <w:rFonts w:ascii="Cambria" w:hAnsi="Cambria"/>
            <w:sz w:val="24"/>
            <w:szCs w:val="24"/>
          </w:rPr>
          <w:t>https://doi.org/10.1016/j.pain.2013.01.001</w:t>
        </w:r>
      </w:hyperlink>
      <w:r w:rsidRPr="00CD2F5C">
        <w:rPr>
          <w:rFonts w:ascii="Cambria" w:hAnsi="Cambria"/>
          <w:sz w:val="24"/>
          <w:szCs w:val="24"/>
        </w:rPr>
        <w:t>.</w:t>
      </w:r>
    </w:p>
    <w:p w14:paraId="1C010D9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Mourad </w:t>
      </w:r>
      <w:proofErr w:type="spellStart"/>
      <w:r w:rsidRPr="00CD2F5C">
        <w:rPr>
          <w:rFonts w:ascii="Cambria" w:hAnsi="Cambria"/>
          <w:sz w:val="24"/>
          <w:szCs w:val="24"/>
        </w:rPr>
        <w:t>Ouzzani</w:t>
      </w:r>
      <w:proofErr w:type="spellEnd"/>
      <w:r w:rsidRPr="00CD2F5C">
        <w:rPr>
          <w:rFonts w:ascii="Cambria" w:hAnsi="Cambria"/>
          <w:sz w:val="24"/>
          <w:szCs w:val="24"/>
        </w:rPr>
        <w:t xml:space="preserve">, Hossam Hammady, </w:t>
      </w:r>
      <w:proofErr w:type="spellStart"/>
      <w:r w:rsidRPr="00CD2F5C">
        <w:rPr>
          <w:rFonts w:ascii="Cambria" w:hAnsi="Cambria"/>
          <w:sz w:val="24"/>
          <w:szCs w:val="24"/>
        </w:rPr>
        <w:t>Zbys</w:t>
      </w:r>
      <w:proofErr w:type="spellEnd"/>
      <w:r w:rsidRPr="00CD2F5C">
        <w:rPr>
          <w:rFonts w:ascii="Cambria" w:hAnsi="Cambria"/>
          <w:sz w:val="24"/>
          <w:szCs w:val="24"/>
        </w:rPr>
        <w:t xml:space="preserve"> Fedorowicz, and Ahmed </w:t>
      </w:r>
      <w:proofErr w:type="spellStart"/>
      <w:r w:rsidRPr="00CD2F5C">
        <w:rPr>
          <w:rFonts w:ascii="Cambria" w:hAnsi="Cambria"/>
          <w:sz w:val="24"/>
          <w:szCs w:val="24"/>
        </w:rPr>
        <w:t>Elmagarmid</w:t>
      </w:r>
      <w:proofErr w:type="spellEnd"/>
      <w:r w:rsidRPr="00CD2F5C">
        <w:rPr>
          <w:rFonts w:ascii="Cambria" w:hAnsi="Cambria"/>
          <w:sz w:val="24"/>
          <w:szCs w:val="24"/>
        </w:rPr>
        <w:t xml:space="preserve">. Rayyan — a web and mobile app for systematic reviews. </w:t>
      </w:r>
      <w:r w:rsidRPr="00CD2F5C">
        <w:rPr>
          <w:rFonts w:ascii="Cambria" w:hAnsi="Cambria"/>
          <w:i/>
          <w:iCs/>
          <w:sz w:val="24"/>
          <w:szCs w:val="24"/>
        </w:rPr>
        <w:t>Systematic Reviews</w:t>
      </w:r>
      <w:r w:rsidRPr="00CD2F5C">
        <w:rPr>
          <w:rFonts w:ascii="Cambria" w:hAnsi="Cambria"/>
          <w:sz w:val="24"/>
          <w:szCs w:val="24"/>
        </w:rPr>
        <w:t xml:space="preserve"> (2016) 5:210, DOI: 10.1186/s13643-016-0384-4. </w:t>
      </w:r>
    </w:p>
    <w:p w14:paraId="6F7297D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National Conference of State Legislators (NCSL). (2021). Adverse Childhood Experiences. </w:t>
      </w:r>
      <w:hyperlink r:id="rId50" w:history="1">
        <w:r w:rsidRPr="00CD2F5C">
          <w:rPr>
            <w:rStyle w:val="Hyperlink"/>
            <w:rFonts w:ascii="Cambria" w:hAnsi="Cambria"/>
            <w:sz w:val="24"/>
            <w:szCs w:val="24"/>
          </w:rPr>
          <w:t>https://www.ncsl.org/research/health/adverse-childhood-experiences-aces.aspx</w:t>
        </w:r>
      </w:hyperlink>
      <w:r w:rsidRPr="00CD2F5C">
        <w:rPr>
          <w:rFonts w:ascii="Cambria" w:hAnsi="Cambria"/>
          <w:sz w:val="24"/>
          <w:szCs w:val="24"/>
        </w:rPr>
        <w:t xml:space="preserve"> </w:t>
      </w:r>
    </w:p>
    <w:p w14:paraId="1A38125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National Heart, Lung, and Blood Institute (NHLBI) National Institutes of Health (NIH): Quality Assessment of Systematic Reviews and Meta-Analyses (2021). Available at: </w:t>
      </w:r>
      <w:hyperlink r:id="rId51" w:history="1">
        <w:r w:rsidRPr="00CD2F5C">
          <w:rPr>
            <w:rStyle w:val="Hyperlink"/>
            <w:rFonts w:ascii="Cambria" w:hAnsi="Cambria"/>
            <w:sz w:val="24"/>
            <w:szCs w:val="24"/>
          </w:rPr>
          <w:t>https://www.nhlbi.nih.gov/health-topics/study-quality-assessment-tools</w:t>
        </w:r>
      </w:hyperlink>
      <w:r w:rsidRPr="00CD2F5C">
        <w:rPr>
          <w:rFonts w:ascii="Cambria" w:hAnsi="Cambria"/>
          <w:sz w:val="24"/>
          <w:szCs w:val="24"/>
        </w:rPr>
        <w:t>. Accessed 30 July 2022.</w:t>
      </w:r>
    </w:p>
    <w:p w14:paraId="7424313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Nicolson KP, Mills SEE, Senaratne DNS, Colvin LA, Smith BH. What is the association between childhood adversity and subsequent chronic pain in adulthood? A systematic review. BJA Open. 2023 Jun </w:t>
      </w:r>
      <w:proofErr w:type="gramStart"/>
      <w:r w:rsidRPr="00CD2F5C">
        <w:rPr>
          <w:rFonts w:ascii="Cambria" w:hAnsi="Cambria"/>
          <w:sz w:val="24"/>
          <w:szCs w:val="24"/>
        </w:rPr>
        <w:t>7;6:100139</w:t>
      </w:r>
      <w:proofErr w:type="gramEnd"/>
      <w:r w:rsidRPr="00CD2F5C">
        <w:rPr>
          <w:rFonts w:ascii="Cambria" w:hAnsi="Cambria"/>
          <w:sz w:val="24"/>
          <w:szCs w:val="24"/>
        </w:rPr>
        <w:t xml:space="preserve">. </w:t>
      </w:r>
      <w:proofErr w:type="spellStart"/>
      <w:r w:rsidRPr="00CD2F5C">
        <w:rPr>
          <w:rFonts w:ascii="Cambria" w:hAnsi="Cambria"/>
          <w:sz w:val="24"/>
          <w:szCs w:val="24"/>
        </w:rPr>
        <w:t>doi</w:t>
      </w:r>
      <w:proofErr w:type="spellEnd"/>
      <w:r w:rsidRPr="00CD2F5C">
        <w:rPr>
          <w:rFonts w:ascii="Cambria" w:hAnsi="Cambria"/>
          <w:sz w:val="24"/>
          <w:szCs w:val="24"/>
        </w:rPr>
        <w:t>: 10.1016/j.bjao.2023.100139.</w:t>
      </w:r>
    </w:p>
    <w:p w14:paraId="2B80681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Phillips JK, Ford MA, Bonnie RJ, editors. (2017). Pain Management and the Opioid Epidemic: Balancing Societal and Individual Benefits and Risks of Prescription Opioid Use. Washington (DC): National Academies Press (US); 4, Trends in Opioid Use, Harms, and Treatment. Available from: </w:t>
      </w:r>
      <w:hyperlink r:id="rId52">
        <w:r w:rsidRPr="00CD2F5C">
          <w:rPr>
            <w:rStyle w:val="Hyperlink"/>
            <w:rFonts w:ascii="Cambria" w:hAnsi="Cambria"/>
            <w:sz w:val="24"/>
            <w:szCs w:val="24"/>
          </w:rPr>
          <w:t>https://www.ncbi.nlm.nih.gov/books/NBK458661</w:t>
        </w:r>
      </w:hyperlink>
      <w:r w:rsidRPr="00CD2F5C">
        <w:rPr>
          <w:rFonts w:ascii="Cambria" w:hAnsi="Cambria"/>
          <w:sz w:val="24"/>
          <w:szCs w:val="24"/>
          <w:u w:val="single"/>
        </w:rPr>
        <w:t>.</w:t>
      </w:r>
      <w:r w:rsidRPr="00CD2F5C">
        <w:rPr>
          <w:rFonts w:ascii="Cambria" w:hAnsi="Cambria"/>
          <w:sz w:val="24"/>
          <w:szCs w:val="24"/>
        </w:rPr>
        <w:t xml:space="preserve"> </w:t>
      </w:r>
    </w:p>
    <w:p w14:paraId="7825156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R Core Team (2021). R: A language and environment for statistical computing. R Foundation for Statistical Computing, Vienna, Austria. URL </w:t>
      </w:r>
      <w:hyperlink r:id="rId53" w:history="1">
        <w:r w:rsidRPr="00CD2F5C">
          <w:rPr>
            <w:rStyle w:val="Hyperlink"/>
            <w:rFonts w:ascii="Cambria" w:hAnsi="Cambria"/>
            <w:sz w:val="24"/>
            <w:szCs w:val="24"/>
          </w:rPr>
          <w:t>https://www.R-project.org</w:t>
        </w:r>
      </w:hyperlink>
      <w:r w:rsidRPr="00CD2F5C">
        <w:rPr>
          <w:rFonts w:ascii="Cambria" w:hAnsi="Cambria"/>
          <w:sz w:val="24"/>
          <w:szCs w:val="24"/>
        </w:rPr>
        <w:t xml:space="preserve">. </w:t>
      </w:r>
    </w:p>
    <w:p w14:paraId="41B44B8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Robinson OJ, Vytal K, Cornwell BR, </w:t>
      </w:r>
      <w:proofErr w:type="spellStart"/>
      <w:r w:rsidRPr="00CD2F5C">
        <w:rPr>
          <w:rFonts w:ascii="Cambria" w:hAnsi="Cambria"/>
          <w:sz w:val="24"/>
          <w:szCs w:val="24"/>
        </w:rPr>
        <w:t>Grillon</w:t>
      </w:r>
      <w:proofErr w:type="spellEnd"/>
      <w:r w:rsidRPr="00CD2F5C">
        <w:rPr>
          <w:rFonts w:ascii="Cambria" w:hAnsi="Cambria"/>
          <w:sz w:val="24"/>
          <w:szCs w:val="24"/>
        </w:rPr>
        <w:t xml:space="preserve"> C. The impact of anxiety upon cognition: perspectives from human threat of shock studies. </w:t>
      </w:r>
      <w:r w:rsidRPr="00CD2F5C">
        <w:rPr>
          <w:rFonts w:ascii="Cambria" w:hAnsi="Cambria"/>
          <w:i/>
          <w:iCs/>
          <w:sz w:val="24"/>
          <w:szCs w:val="24"/>
        </w:rPr>
        <w:t xml:space="preserve">Front Hum </w:t>
      </w:r>
      <w:proofErr w:type="spellStart"/>
      <w:r w:rsidRPr="00CD2F5C">
        <w:rPr>
          <w:rFonts w:ascii="Cambria" w:hAnsi="Cambria"/>
          <w:i/>
          <w:iCs/>
          <w:sz w:val="24"/>
          <w:szCs w:val="24"/>
        </w:rPr>
        <w:t>Neurosci</w:t>
      </w:r>
      <w:proofErr w:type="spellEnd"/>
      <w:r w:rsidRPr="00CD2F5C">
        <w:rPr>
          <w:rFonts w:ascii="Cambria" w:hAnsi="Cambria"/>
          <w:sz w:val="24"/>
          <w:szCs w:val="24"/>
        </w:rPr>
        <w:t xml:space="preserve">. </w:t>
      </w:r>
      <w:proofErr w:type="gramStart"/>
      <w:r w:rsidRPr="00CD2F5C">
        <w:rPr>
          <w:rFonts w:ascii="Cambria" w:hAnsi="Cambria"/>
          <w:sz w:val="24"/>
          <w:szCs w:val="24"/>
        </w:rPr>
        <w:t>2013;7:203</w:t>
      </w:r>
      <w:proofErr w:type="gramEnd"/>
      <w:r w:rsidRPr="00CD2F5C">
        <w:rPr>
          <w:rFonts w:ascii="Cambria" w:hAnsi="Cambria"/>
          <w:sz w:val="24"/>
          <w:szCs w:val="24"/>
        </w:rPr>
        <w:t>. Published 2013 May 17. Doi:10.3389/fnhum.2013.00203.</w:t>
      </w:r>
    </w:p>
    <w:p w14:paraId="3CC2F60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 xml:space="preserve">Ryan R; Cochrane Consumers and Communication Review Group. ‘Cochrane Consumers and Communication Group: meta-analysis. </w:t>
      </w:r>
      <w:hyperlink r:id="rId54" w:history="1">
        <w:r w:rsidRPr="00CD2F5C">
          <w:rPr>
            <w:rStyle w:val="Hyperlink"/>
            <w:rFonts w:ascii="Cambria" w:hAnsi="Cambria"/>
            <w:sz w:val="24"/>
            <w:szCs w:val="24"/>
          </w:rPr>
          <w:t>http://cccrg.cochrane.org</w:t>
        </w:r>
      </w:hyperlink>
      <w:r w:rsidRPr="00CD2F5C">
        <w:rPr>
          <w:rFonts w:ascii="Cambria" w:hAnsi="Cambria"/>
          <w:sz w:val="24"/>
          <w:szCs w:val="24"/>
        </w:rPr>
        <w:t>. December 2016. Accessed 15 August 2023.</w:t>
      </w:r>
    </w:p>
    <w:p w14:paraId="1E653EE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Sakamoto, Y., Oka, T., Amari, T., and Simo, S. (2019). Factors Affecting Psychological Stress in Healthcare Workers with and without Chronic Pain: A Cross‐Sectional Study Using Multiple Regression Analysis. </w:t>
      </w:r>
      <w:r w:rsidRPr="00CD2F5C">
        <w:rPr>
          <w:rFonts w:ascii="Cambria" w:hAnsi="Cambria"/>
          <w:i/>
          <w:iCs/>
          <w:sz w:val="24"/>
          <w:szCs w:val="24"/>
        </w:rPr>
        <w:t>Medicina</w:t>
      </w:r>
      <w:r w:rsidRPr="00CD2F5C">
        <w:rPr>
          <w:rFonts w:ascii="Cambria" w:hAnsi="Cambria"/>
          <w:sz w:val="24"/>
          <w:szCs w:val="24"/>
        </w:rPr>
        <w:t xml:space="preserve">, 55(10), 652; </w:t>
      </w:r>
      <w:r w:rsidRPr="00CD2F5C">
        <w:rPr>
          <w:rFonts w:ascii="Cambria" w:hAnsi="Cambria"/>
          <w:sz w:val="24"/>
          <w:szCs w:val="24"/>
          <w:u w:val="single"/>
        </w:rPr>
        <w:t>https://doi.org/10.3390/medicina55100652</w:t>
      </w:r>
      <w:r w:rsidRPr="00CD2F5C">
        <w:rPr>
          <w:rFonts w:ascii="Cambria" w:hAnsi="Cambria"/>
          <w:sz w:val="24"/>
          <w:szCs w:val="24"/>
        </w:rPr>
        <w:t xml:space="preserve">. </w:t>
      </w:r>
    </w:p>
    <w:p w14:paraId="2D2B5EB7"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Scammacca</w:t>
      </w:r>
      <w:proofErr w:type="spellEnd"/>
      <w:r w:rsidRPr="00CD2F5C">
        <w:rPr>
          <w:rFonts w:ascii="Cambria" w:hAnsi="Cambria"/>
          <w:sz w:val="24"/>
          <w:szCs w:val="24"/>
        </w:rPr>
        <w:t xml:space="preserve"> N, Roberts G, Stuebing </w:t>
      </w:r>
      <w:proofErr w:type="gramStart"/>
      <w:r w:rsidRPr="00CD2F5C">
        <w:rPr>
          <w:rFonts w:ascii="Cambria" w:hAnsi="Cambria"/>
          <w:sz w:val="24"/>
          <w:szCs w:val="24"/>
        </w:rPr>
        <w:t>KK.(</w:t>
      </w:r>
      <w:proofErr w:type="gramEnd"/>
      <w:r w:rsidRPr="00CD2F5C">
        <w:rPr>
          <w:rFonts w:ascii="Cambria" w:hAnsi="Cambria"/>
          <w:sz w:val="24"/>
          <w:szCs w:val="24"/>
        </w:rPr>
        <w:t xml:space="preserve">2014). Meta-Analysis </w:t>
      </w:r>
      <w:proofErr w:type="gramStart"/>
      <w:r w:rsidRPr="00CD2F5C">
        <w:rPr>
          <w:rFonts w:ascii="Cambria" w:hAnsi="Cambria"/>
          <w:sz w:val="24"/>
          <w:szCs w:val="24"/>
        </w:rPr>
        <w:t>With</w:t>
      </w:r>
      <w:proofErr w:type="gramEnd"/>
      <w:r w:rsidRPr="00CD2F5C">
        <w:rPr>
          <w:rFonts w:ascii="Cambria" w:hAnsi="Cambria"/>
          <w:sz w:val="24"/>
          <w:szCs w:val="24"/>
        </w:rPr>
        <w:t xml:space="preserve"> Complex Research Designs: Dealing With Dependence From Multiple Measures and Multiple Group Comparisons. </w:t>
      </w:r>
      <w:r w:rsidRPr="00CD2F5C">
        <w:rPr>
          <w:rFonts w:ascii="Cambria" w:hAnsi="Cambria"/>
          <w:i/>
          <w:iCs/>
          <w:sz w:val="24"/>
          <w:szCs w:val="24"/>
        </w:rPr>
        <w:t xml:space="preserve">Rev </w:t>
      </w:r>
      <w:proofErr w:type="spellStart"/>
      <w:r w:rsidRPr="00CD2F5C">
        <w:rPr>
          <w:rFonts w:ascii="Cambria" w:hAnsi="Cambria"/>
          <w:i/>
          <w:iCs/>
          <w:sz w:val="24"/>
          <w:szCs w:val="24"/>
        </w:rPr>
        <w:t>Educ</w:t>
      </w:r>
      <w:proofErr w:type="spellEnd"/>
      <w:r w:rsidRPr="00CD2F5C">
        <w:rPr>
          <w:rFonts w:ascii="Cambria" w:hAnsi="Cambria"/>
          <w:i/>
          <w:iCs/>
          <w:sz w:val="24"/>
          <w:szCs w:val="24"/>
        </w:rPr>
        <w:t xml:space="preserve"> Res</w:t>
      </w:r>
      <w:r w:rsidRPr="00CD2F5C">
        <w:rPr>
          <w:rFonts w:ascii="Cambria" w:hAnsi="Cambria"/>
          <w:sz w:val="24"/>
          <w:szCs w:val="24"/>
        </w:rPr>
        <w:t xml:space="preserve">. Sep 1;84(3):328-364. </w:t>
      </w:r>
      <w:proofErr w:type="spellStart"/>
      <w:r w:rsidRPr="00CD2F5C">
        <w:rPr>
          <w:rFonts w:ascii="Cambria" w:hAnsi="Cambria"/>
          <w:sz w:val="24"/>
          <w:szCs w:val="24"/>
        </w:rPr>
        <w:t>doi</w:t>
      </w:r>
      <w:proofErr w:type="spellEnd"/>
      <w:r w:rsidRPr="00CD2F5C">
        <w:rPr>
          <w:rFonts w:ascii="Cambria" w:hAnsi="Cambria"/>
          <w:sz w:val="24"/>
          <w:szCs w:val="24"/>
        </w:rPr>
        <w:t>: 10.3102/0034654313500826. </w:t>
      </w:r>
    </w:p>
    <w:p w14:paraId="73DD65CC"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Siddaway</w:t>
      </w:r>
      <w:proofErr w:type="spellEnd"/>
      <w:r w:rsidRPr="00CD2F5C">
        <w:rPr>
          <w:rFonts w:ascii="Cambria" w:hAnsi="Cambria"/>
          <w:sz w:val="24"/>
          <w:szCs w:val="24"/>
        </w:rPr>
        <w:t>, A. P., Wood, A. M., &amp; Hedges, L. V. (2019). How to do a systematic review: A best practice guide for conducting and reporting narrative reviews, meta-analyses, and meta-syntheses. </w:t>
      </w:r>
      <w:r w:rsidRPr="00CD2F5C">
        <w:rPr>
          <w:rFonts w:ascii="Cambria" w:hAnsi="Cambria"/>
          <w:i/>
          <w:iCs/>
          <w:sz w:val="24"/>
          <w:szCs w:val="24"/>
        </w:rPr>
        <w:t>Annual Review of Psychology</w:t>
      </w:r>
      <w:r w:rsidRPr="00CD2F5C">
        <w:rPr>
          <w:rFonts w:ascii="Cambria" w:hAnsi="Cambria"/>
          <w:sz w:val="24"/>
          <w:szCs w:val="24"/>
        </w:rPr>
        <w:t>, 70, 747– 770.</w:t>
      </w:r>
    </w:p>
    <w:p w14:paraId="0F9742B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Slater, L. (2021). How to Identify and Address Childhood Trauma in Primary Care Settings: AACAP 2021. </w:t>
      </w:r>
      <w:hyperlink r:id="rId55" w:history="1">
        <w:r w:rsidRPr="00CD2F5C">
          <w:rPr>
            <w:rStyle w:val="Hyperlink"/>
            <w:rFonts w:ascii="Cambria" w:hAnsi="Cambria"/>
            <w:sz w:val="24"/>
            <w:szCs w:val="24"/>
          </w:rPr>
          <w:t>https://pro.psycom.net/news-research/conference-coverage/aacap-how-to-identify-and-address-childhood-trauma-in-primary-care-settings</w:t>
        </w:r>
      </w:hyperlink>
      <w:r w:rsidRPr="00CD2F5C">
        <w:rPr>
          <w:rFonts w:ascii="Cambria" w:hAnsi="Cambria"/>
          <w:sz w:val="24"/>
          <w:szCs w:val="24"/>
        </w:rPr>
        <w:t>. Accessed July 30, 2023.</w:t>
      </w:r>
    </w:p>
    <w:p w14:paraId="38E726D8" w14:textId="77777777" w:rsidR="009832C0" w:rsidRPr="00CD2F5C" w:rsidRDefault="009832C0" w:rsidP="002B0F75">
      <w:pPr>
        <w:spacing w:line="360" w:lineRule="auto"/>
        <w:rPr>
          <w:rFonts w:ascii="Cambria" w:hAnsi="Cambria"/>
          <w:sz w:val="24"/>
          <w:szCs w:val="24"/>
        </w:rPr>
      </w:pPr>
      <w:bookmarkStart w:id="65" w:name="_Hlk110080689"/>
      <w:r w:rsidRPr="00CD2F5C">
        <w:rPr>
          <w:rFonts w:ascii="Cambria" w:hAnsi="Cambria"/>
          <w:sz w:val="24"/>
          <w:szCs w:val="24"/>
        </w:rPr>
        <w:t>The Joanna Briggs Institute (JBI) tool: Checklist for Systematic Reviews and Research Syntheses (2020)</w:t>
      </w:r>
      <w:bookmarkEnd w:id="65"/>
      <w:r w:rsidRPr="00CD2F5C">
        <w:rPr>
          <w:rFonts w:ascii="Cambria" w:hAnsi="Cambria"/>
          <w:sz w:val="24"/>
          <w:szCs w:val="24"/>
        </w:rPr>
        <w:t xml:space="preserve">. Available at: </w:t>
      </w:r>
      <w:hyperlink r:id="rId56" w:history="1">
        <w:r w:rsidRPr="00CD2F5C">
          <w:rPr>
            <w:rStyle w:val="Hyperlink"/>
            <w:rFonts w:ascii="Cambria" w:hAnsi="Cambria"/>
            <w:sz w:val="24"/>
            <w:szCs w:val="24"/>
          </w:rPr>
          <w:t>https://jbi.global/critical-appraisal-tools</w:t>
        </w:r>
      </w:hyperlink>
      <w:r w:rsidRPr="00CD2F5C">
        <w:rPr>
          <w:rFonts w:ascii="Cambria" w:hAnsi="Cambria"/>
          <w:sz w:val="24"/>
          <w:szCs w:val="24"/>
        </w:rPr>
        <w:t>. Accessed: 30 July 2022.</w:t>
      </w:r>
    </w:p>
    <w:p w14:paraId="16CA076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Tseng MT, Kong Y, </w:t>
      </w:r>
      <w:proofErr w:type="spellStart"/>
      <w:r w:rsidRPr="00CD2F5C">
        <w:rPr>
          <w:rFonts w:ascii="Cambria" w:hAnsi="Cambria"/>
          <w:sz w:val="24"/>
          <w:szCs w:val="24"/>
        </w:rPr>
        <w:t>Eippert</w:t>
      </w:r>
      <w:proofErr w:type="spellEnd"/>
      <w:r w:rsidRPr="00CD2F5C">
        <w:rPr>
          <w:rFonts w:ascii="Cambria" w:hAnsi="Cambria"/>
          <w:sz w:val="24"/>
          <w:szCs w:val="24"/>
        </w:rPr>
        <w:t xml:space="preserve"> F, Tracey I. Determining the Neural Substrate for Encoding a Memory of Human Pain and the Influence of Anxiety. </w:t>
      </w:r>
      <w:r w:rsidRPr="00CD2F5C">
        <w:rPr>
          <w:rFonts w:ascii="Cambria" w:hAnsi="Cambria"/>
          <w:i/>
          <w:iCs/>
          <w:sz w:val="24"/>
          <w:szCs w:val="24"/>
        </w:rPr>
        <w:t xml:space="preserve">J </w:t>
      </w:r>
      <w:proofErr w:type="spellStart"/>
      <w:r w:rsidRPr="00CD2F5C">
        <w:rPr>
          <w:rFonts w:ascii="Cambria" w:hAnsi="Cambria"/>
          <w:i/>
          <w:iCs/>
          <w:sz w:val="24"/>
          <w:szCs w:val="24"/>
        </w:rPr>
        <w:t>Neurosci</w:t>
      </w:r>
      <w:proofErr w:type="spellEnd"/>
      <w:r w:rsidRPr="00CD2F5C">
        <w:rPr>
          <w:rFonts w:ascii="Cambria" w:hAnsi="Cambria"/>
          <w:sz w:val="24"/>
          <w:szCs w:val="24"/>
        </w:rPr>
        <w:t xml:space="preserve">. 2017;37(49):11806-11817. Doi:10.1523/JNEUROSCI.0750-17.2017. </w:t>
      </w:r>
    </w:p>
    <w:p w14:paraId="5F8BF46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Woo AK. Depression and Anxiety in Pain. </w:t>
      </w:r>
      <w:r w:rsidRPr="00CD2F5C">
        <w:rPr>
          <w:rFonts w:ascii="Cambria" w:hAnsi="Cambria"/>
          <w:i/>
          <w:iCs/>
          <w:sz w:val="24"/>
          <w:szCs w:val="24"/>
        </w:rPr>
        <w:t>Rev Pain</w:t>
      </w:r>
      <w:r w:rsidRPr="00CD2F5C">
        <w:rPr>
          <w:rFonts w:ascii="Cambria" w:hAnsi="Cambria"/>
          <w:sz w:val="24"/>
          <w:szCs w:val="24"/>
        </w:rPr>
        <w:t xml:space="preserve">. 2010 Mar;4(1):8-12. </w:t>
      </w:r>
      <w:proofErr w:type="spellStart"/>
      <w:r w:rsidRPr="00CD2F5C">
        <w:rPr>
          <w:rFonts w:ascii="Cambria" w:hAnsi="Cambria"/>
          <w:sz w:val="24"/>
          <w:szCs w:val="24"/>
        </w:rPr>
        <w:t>doi</w:t>
      </w:r>
      <w:proofErr w:type="spellEnd"/>
      <w:r w:rsidRPr="00CD2F5C">
        <w:rPr>
          <w:rFonts w:ascii="Cambria" w:hAnsi="Cambria"/>
          <w:sz w:val="24"/>
          <w:szCs w:val="24"/>
        </w:rPr>
        <w:t>: 10.1177/204946371000400103. </w:t>
      </w:r>
    </w:p>
    <w:p w14:paraId="172D084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World Health Organization: Preventing child maltreatment: a guide to taking action and generating evidence/World Health Organization and International Society for Prevention of Child Abuse and Neglect. 2006 World Health Organization. </w:t>
      </w:r>
      <w:hyperlink r:id="rId57" w:history="1">
        <w:r w:rsidRPr="00CD2F5C">
          <w:rPr>
            <w:rStyle w:val="Hyperlink"/>
            <w:rFonts w:ascii="Cambria" w:hAnsi="Cambria"/>
            <w:sz w:val="24"/>
            <w:szCs w:val="24"/>
          </w:rPr>
          <w:t>https://resourcecentre.savethechildren.net/document/preventing-child-maltreatment-guide-taking-action-and-generating-evidence</w:t>
        </w:r>
      </w:hyperlink>
      <w:r w:rsidRPr="00CD2F5C">
        <w:rPr>
          <w:rFonts w:ascii="Cambria" w:hAnsi="Cambria"/>
          <w:sz w:val="24"/>
          <w:szCs w:val="24"/>
        </w:rPr>
        <w:t xml:space="preserve">. Accessed 18 June 2022. </w:t>
      </w:r>
    </w:p>
    <w:p w14:paraId="35A2C630"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Zilcha</w:t>
      </w:r>
      <w:proofErr w:type="spellEnd"/>
      <w:r w:rsidRPr="00CD2F5C">
        <w:rPr>
          <w:rFonts w:ascii="Cambria" w:hAnsi="Cambria"/>
          <w:sz w:val="24"/>
          <w:szCs w:val="24"/>
        </w:rPr>
        <w:t xml:space="preserve">-Mano, S., Constantino, M. J., &amp; Eubanks, C. F. (2022). Evidence-based tailoring of treatment to patients, providers, and processes: Introduction to the special issue. </w:t>
      </w:r>
      <w:r w:rsidRPr="00CD2F5C">
        <w:rPr>
          <w:rFonts w:ascii="Cambria" w:hAnsi="Cambria"/>
          <w:i/>
          <w:iCs/>
          <w:sz w:val="24"/>
          <w:szCs w:val="24"/>
        </w:rPr>
        <w:t>Journal of Consulting and Clinical Psychology, 90</w:t>
      </w:r>
      <w:r w:rsidRPr="00CD2F5C">
        <w:rPr>
          <w:rFonts w:ascii="Cambria" w:hAnsi="Cambria"/>
          <w:sz w:val="24"/>
          <w:szCs w:val="24"/>
        </w:rPr>
        <w:t>(1), 1–4. https://doi.org/10.1037/ccp0000694.</w:t>
      </w:r>
    </w:p>
    <w:p w14:paraId="4099DCBB" w14:textId="77777777" w:rsidR="009832C0" w:rsidRPr="00CD2F5C" w:rsidRDefault="009832C0" w:rsidP="002B0F75">
      <w:pPr>
        <w:spacing w:line="360" w:lineRule="auto"/>
        <w:rPr>
          <w:rFonts w:ascii="Cambria" w:hAnsi="Cambria"/>
          <w:sz w:val="24"/>
          <w:szCs w:val="24"/>
        </w:rPr>
      </w:pPr>
    </w:p>
    <w:p w14:paraId="69B5BBB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br w:type="page"/>
      </w:r>
    </w:p>
    <w:p w14:paraId="226C379F" w14:textId="12875CE5" w:rsidR="009832C0" w:rsidRPr="00CD2F5C" w:rsidRDefault="009832C0" w:rsidP="002B0F75">
      <w:pPr>
        <w:pStyle w:val="Heading1"/>
        <w:spacing w:line="360" w:lineRule="auto"/>
      </w:pPr>
      <w:bookmarkStart w:id="66" w:name="_Toc181362881"/>
      <w:bookmarkStart w:id="67" w:name="_Hlk154929498"/>
      <w:r>
        <w:lastRenderedPageBreak/>
        <w:t>Chapter 3: UK-based study—An analysis on history of childhood adversity, anxiety, and chronic pain in adulthood and the influence of inflammatory biomarker C</w:t>
      </w:r>
      <w:r w:rsidR="6A2DA730">
        <w:t>-</w:t>
      </w:r>
      <w:r>
        <w:t>reactive protein</w:t>
      </w:r>
      <w:bookmarkEnd w:id="66"/>
    </w:p>
    <w:bookmarkEnd w:id="67"/>
    <w:p w14:paraId="7835D9A4" w14:textId="2DB02B5D" w:rsidR="002D1216" w:rsidRPr="002D1216" w:rsidRDefault="55EDDBDE" w:rsidP="002B0F75">
      <w:pPr>
        <w:spacing w:line="360" w:lineRule="auto"/>
        <w:rPr>
          <w:rFonts w:ascii="Cambria" w:hAnsi="Cambria"/>
          <w:sz w:val="24"/>
          <w:szCs w:val="24"/>
        </w:rPr>
      </w:pPr>
      <w:r w:rsidRPr="13B33B62">
        <w:rPr>
          <w:rFonts w:ascii="Cambria" w:hAnsi="Cambria"/>
          <w:sz w:val="24"/>
          <w:szCs w:val="24"/>
        </w:rPr>
        <w:t>Based on the identified needs for future research within th</w:t>
      </w:r>
      <w:r w:rsidR="179D8B01" w:rsidRPr="13B33B62">
        <w:rPr>
          <w:rFonts w:ascii="Cambria" w:hAnsi="Cambria"/>
          <w:sz w:val="24"/>
          <w:szCs w:val="24"/>
        </w:rPr>
        <w:t>e systematic review and meta-analysis on the relationship between ACEs and anxiety on chronic pain experience in adults, the potential role of inflammatory biomarker C reactive protein (CRP)</w:t>
      </w:r>
      <w:r w:rsidR="6AAAD620" w:rsidRPr="13B33B62">
        <w:rPr>
          <w:rFonts w:ascii="Cambria" w:hAnsi="Cambria"/>
          <w:sz w:val="24"/>
          <w:szCs w:val="24"/>
        </w:rPr>
        <w:t xml:space="preserve"> was analysed</w:t>
      </w:r>
      <w:r w:rsidR="179D8B01" w:rsidRPr="13B33B62">
        <w:rPr>
          <w:rFonts w:ascii="Cambria" w:hAnsi="Cambria"/>
          <w:sz w:val="24"/>
          <w:szCs w:val="24"/>
        </w:rPr>
        <w:t xml:space="preserve"> in a sample of 2007 adults who participated in the UK Biobank study. This analysis also included </w:t>
      </w:r>
      <w:r w:rsidR="001B256E" w:rsidRPr="13B33B62">
        <w:rPr>
          <w:rFonts w:ascii="Cambria" w:hAnsi="Cambria"/>
          <w:sz w:val="24"/>
          <w:szCs w:val="24"/>
        </w:rPr>
        <w:t>examination</w:t>
      </w:r>
      <w:r w:rsidR="2D8742E7" w:rsidRPr="13B33B62">
        <w:rPr>
          <w:rFonts w:ascii="Cambria" w:hAnsi="Cambria"/>
          <w:sz w:val="24"/>
          <w:szCs w:val="24"/>
        </w:rPr>
        <w:t xml:space="preserve"> of</w:t>
      </w:r>
      <w:r w:rsidR="179D8B01" w:rsidRPr="13B33B62">
        <w:rPr>
          <w:rFonts w:ascii="Cambria" w:hAnsi="Cambria"/>
          <w:sz w:val="24"/>
          <w:szCs w:val="24"/>
        </w:rPr>
        <w:t xml:space="preserve"> the associations between ACEs, </w:t>
      </w:r>
      <w:r w:rsidR="62A5CD02" w:rsidRPr="13B33B62">
        <w:rPr>
          <w:rFonts w:ascii="Cambria" w:hAnsi="Cambria"/>
          <w:sz w:val="24"/>
          <w:szCs w:val="24"/>
        </w:rPr>
        <w:t>anxiety,</w:t>
      </w:r>
      <w:r w:rsidR="179D8B01" w:rsidRPr="13B33B62">
        <w:rPr>
          <w:rFonts w:ascii="Cambria" w:hAnsi="Cambria"/>
          <w:sz w:val="24"/>
          <w:szCs w:val="24"/>
        </w:rPr>
        <w:t xml:space="preserve"> and chronic pain in </w:t>
      </w:r>
      <w:r w:rsidR="051AB04E" w:rsidRPr="13B33B62">
        <w:rPr>
          <w:rFonts w:ascii="Cambria" w:hAnsi="Cambria"/>
          <w:sz w:val="24"/>
          <w:szCs w:val="24"/>
        </w:rPr>
        <w:t xml:space="preserve">the same </w:t>
      </w:r>
      <w:r w:rsidR="179D8B01" w:rsidRPr="13B33B62">
        <w:rPr>
          <w:rFonts w:ascii="Cambria" w:hAnsi="Cambria"/>
          <w:sz w:val="24"/>
          <w:szCs w:val="24"/>
        </w:rPr>
        <w:t xml:space="preserve">sample. These analyses led from the systematic review and meta-analysis by identifying a lack of clarity on the underlying mechanisms potentially at play in this association, such as systematic inflammation. This statistical analysis was independently carried out by the author of this thesis with supervision from PhD supervisors (AW, LC, and GM), and all supervisors guided in directions for re-analysis and write-up/review of the publication. </w:t>
      </w:r>
      <w:r w:rsidR="5D28C0AE" w:rsidRPr="13B33B62">
        <w:rPr>
          <w:rFonts w:ascii="Cambria" w:hAnsi="Cambria"/>
          <w:sz w:val="24"/>
          <w:szCs w:val="24"/>
        </w:rPr>
        <w:t xml:space="preserve">This chapter has been published in </w:t>
      </w:r>
      <w:r w:rsidR="06DB0CF9" w:rsidRPr="13B33B62">
        <w:rPr>
          <w:rFonts w:ascii="Cambria" w:hAnsi="Cambria"/>
          <w:sz w:val="24"/>
          <w:szCs w:val="24"/>
        </w:rPr>
        <w:t>Nature Scientific Reports</w:t>
      </w:r>
      <w:r w:rsidR="5D28C0AE" w:rsidRPr="13B33B62">
        <w:rPr>
          <w:rFonts w:ascii="Cambria" w:hAnsi="Cambria"/>
          <w:sz w:val="24"/>
          <w:szCs w:val="24"/>
        </w:rPr>
        <w:t xml:space="preserve">: </w:t>
      </w:r>
    </w:p>
    <w:p w14:paraId="5A707A83" w14:textId="6392CFD8" w:rsidR="002D1216" w:rsidRPr="002D1216" w:rsidRDefault="06480887" w:rsidP="002B0F75">
      <w:pPr>
        <w:spacing w:line="360" w:lineRule="auto"/>
        <w:rPr>
          <w:rFonts w:ascii="Cambria" w:hAnsi="Cambria"/>
          <w:sz w:val="24"/>
          <w:szCs w:val="24"/>
        </w:rPr>
      </w:pPr>
      <w:r w:rsidRPr="6E2346AC">
        <w:rPr>
          <w:rFonts w:ascii="Cambria" w:hAnsi="Cambria"/>
          <w:sz w:val="24"/>
          <w:szCs w:val="24"/>
        </w:rPr>
        <w:t xml:space="preserve">Dalechek, D.E., </w:t>
      </w:r>
      <w:proofErr w:type="spellStart"/>
      <w:r w:rsidRPr="6E2346AC">
        <w:rPr>
          <w:rFonts w:ascii="Cambria" w:hAnsi="Cambria"/>
          <w:sz w:val="24"/>
          <w:szCs w:val="24"/>
        </w:rPr>
        <w:t>Caes</w:t>
      </w:r>
      <w:proofErr w:type="spellEnd"/>
      <w:r w:rsidRPr="6E2346AC">
        <w:rPr>
          <w:rFonts w:ascii="Cambria" w:hAnsi="Cambria"/>
          <w:sz w:val="24"/>
          <w:szCs w:val="24"/>
        </w:rPr>
        <w:t>, L., McIntosh, G. </w:t>
      </w:r>
      <w:r w:rsidRPr="6E2346AC">
        <w:rPr>
          <w:rFonts w:ascii="Cambria" w:hAnsi="Cambria"/>
          <w:i/>
          <w:iCs/>
          <w:sz w:val="24"/>
          <w:szCs w:val="24"/>
        </w:rPr>
        <w:t>et al.</w:t>
      </w:r>
      <w:r w:rsidRPr="6E2346AC">
        <w:rPr>
          <w:rFonts w:ascii="Cambria" w:hAnsi="Cambria"/>
          <w:sz w:val="24"/>
          <w:szCs w:val="24"/>
        </w:rPr>
        <w:t> An analysis on history of childhood adversity, anxiety, and chronic pain in adulthood and the influence of inflammatory biomarker C-reactive protein. </w:t>
      </w:r>
      <w:r w:rsidRPr="6E2346AC">
        <w:rPr>
          <w:rFonts w:ascii="Cambria" w:hAnsi="Cambria"/>
          <w:i/>
          <w:iCs/>
          <w:sz w:val="24"/>
          <w:szCs w:val="24"/>
        </w:rPr>
        <w:t>Sci Rep</w:t>
      </w:r>
      <w:r w:rsidRPr="6E2346AC">
        <w:rPr>
          <w:rFonts w:ascii="Cambria" w:hAnsi="Cambria"/>
          <w:sz w:val="24"/>
          <w:szCs w:val="24"/>
        </w:rPr>
        <w:t xml:space="preserve"> 13, 18000 (2023). </w:t>
      </w:r>
      <w:hyperlink r:id="rId58" w:history="1">
        <w:r w:rsidRPr="6E2346AC">
          <w:rPr>
            <w:rStyle w:val="Hyperlink"/>
            <w:rFonts w:ascii="Cambria" w:hAnsi="Cambria"/>
            <w:sz w:val="24"/>
            <w:szCs w:val="24"/>
          </w:rPr>
          <w:t>https://doi.org/10.1038/s41598-023-44874-1</w:t>
        </w:r>
      </w:hyperlink>
      <w:r w:rsidRPr="6E2346AC">
        <w:rPr>
          <w:rFonts w:ascii="Cambria" w:hAnsi="Cambria"/>
          <w:sz w:val="24"/>
          <w:szCs w:val="24"/>
        </w:rPr>
        <w:t xml:space="preserve">. </w:t>
      </w:r>
    </w:p>
    <w:p w14:paraId="426129FC" w14:textId="77777777" w:rsidR="002D1216" w:rsidRPr="00CD2F5C" w:rsidRDefault="002D1216" w:rsidP="002B0F75">
      <w:pPr>
        <w:spacing w:line="360" w:lineRule="auto"/>
        <w:rPr>
          <w:rFonts w:ascii="Cambria" w:hAnsi="Cambria"/>
          <w:b/>
          <w:bCs/>
          <w:sz w:val="24"/>
          <w:szCs w:val="24"/>
        </w:rPr>
      </w:pPr>
    </w:p>
    <w:p w14:paraId="6B7A7AA9" w14:textId="4BEF8F0E" w:rsidR="6E2346AC" w:rsidRDefault="6E2346AC" w:rsidP="002B0F75">
      <w:pPr>
        <w:spacing w:line="360" w:lineRule="auto"/>
      </w:pPr>
      <w:r>
        <w:br w:type="page"/>
      </w:r>
    </w:p>
    <w:p w14:paraId="588129A0" w14:textId="0F336973"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lastRenderedPageBreak/>
        <w:t>Abstract</w:t>
      </w:r>
    </w:p>
    <w:p w14:paraId="6E26B285" w14:textId="6B5C7111" w:rsidR="009832C0" w:rsidRPr="00CD2F5C" w:rsidRDefault="009832C0" w:rsidP="002B0F75">
      <w:pPr>
        <w:spacing w:line="360" w:lineRule="auto"/>
        <w:rPr>
          <w:rFonts w:ascii="Cambria" w:hAnsi="Cambria"/>
          <w:sz w:val="24"/>
          <w:szCs w:val="24"/>
        </w:rPr>
      </w:pPr>
      <w:r w:rsidRPr="6E2346AC">
        <w:rPr>
          <w:rFonts w:ascii="Cambria" w:hAnsi="Cambria"/>
          <w:sz w:val="24"/>
          <w:szCs w:val="24"/>
        </w:rPr>
        <w:t>Despite a link between adverse childhood experiences (ACEs) and anxiety, the role of anxiety in the pathway to chronic pain is unclear. Potentially, inflammatory biomarkers such as C</w:t>
      </w:r>
      <w:r w:rsidR="24749C05" w:rsidRPr="6E2346AC">
        <w:rPr>
          <w:rFonts w:ascii="Cambria" w:hAnsi="Cambria"/>
          <w:sz w:val="24"/>
          <w:szCs w:val="24"/>
        </w:rPr>
        <w:t>-</w:t>
      </w:r>
      <w:r w:rsidRPr="6E2346AC">
        <w:rPr>
          <w:rFonts w:ascii="Cambria" w:hAnsi="Cambria"/>
          <w:sz w:val="24"/>
          <w:szCs w:val="24"/>
        </w:rPr>
        <w:t>reactive protein (CRP) are involved. Objectives were to (1) examine relationships between reported ACEs, anxiety, and chronic pain, and (2) assess associations between ACEs, anxiety, and CRP levels and between CRP and chronic pain. Data from 24,172 adults who participated in the UK Biobank were used to conduct Poisson regressions to assess relationships between ACEs, anxiety, and chronic pain. For participants with CRP data who met the inclusion criteria (n = 2007), similar models were run between ACEs, anxiety, and CRP, and CRP and chronic pain. For objective 1, three statistically significant interactions were found to predict pain: frequency of physical abuse x reported muscular symptoms during anxiety (</w:t>
      </w:r>
      <w:r w:rsidRPr="6E2346AC">
        <w:rPr>
          <w:rFonts w:ascii="Cambria" w:hAnsi="Cambria"/>
          <w:i/>
          <w:iCs/>
          <w:sz w:val="24"/>
          <w:szCs w:val="24"/>
        </w:rPr>
        <w:t>p</w:t>
      </w:r>
      <w:r w:rsidRPr="6E2346AC">
        <w:rPr>
          <w:rFonts w:ascii="Cambria" w:hAnsi="Cambria"/>
          <w:sz w:val="24"/>
          <w:szCs w:val="24"/>
        </w:rPr>
        <w:t xml:space="preserve"> = 0.01); frequency in which they felt hated x having discussed anxiety with a professional (</w:t>
      </w:r>
      <w:r w:rsidRPr="6E2346AC">
        <w:rPr>
          <w:rFonts w:ascii="Cambria" w:hAnsi="Cambria"/>
          <w:i/>
          <w:iCs/>
          <w:sz w:val="24"/>
          <w:szCs w:val="24"/>
        </w:rPr>
        <w:t>p</w:t>
      </w:r>
      <w:r w:rsidRPr="6E2346AC">
        <w:rPr>
          <w:rFonts w:ascii="Cambria" w:hAnsi="Cambria"/>
          <w:sz w:val="24"/>
          <w:szCs w:val="24"/>
        </w:rPr>
        <w:t xml:space="preserve"> = 0.03), and reported frequency of sexual abuse x difficulties relaxing during anxiety attacks (</w:t>
      </w:r>
      <w:r w:rsidRPr="6E2346AC">
        <w:rPr>
          <w:rFonts w:ascii="Cambria" w:hAnsi="Cambria"/>
          <w:i/>
          <w:iCs/>
          <w:sz w:val="24"/>
          <w:szCs w:val="24"/>
        </w:rPr>
        <w:t>p</w:t>
      </w:r>
      <w:r w:rsidRPr="6E2346AC">
        <w:rPr>
          <w:rFonts w:ascii="Cambria" w:hAnsi="Cambria"/>
          <w:sz w:val="24"/>
          <w:szCs w:val="24"/>
        </w:rPr>
        <w:t xml:space="preserve"> = 0.03). For objective 2, frequency of sexual abuse and informing a professional about anxiety significantly interacted to predict elevated CRP. For correlations, the largest was between CRP and the number of times pain was reported over the years (</w:t>
      </w:r>
      <w:r w:rsidRPr="6E2346AC">
        <w:rPr>
          <w:rFonts w:ascii="Cambria" w:hAnsi="Cambria"/>
          <w:i/>
          <w:iCs/>
          <w:sz w:val="24"/>
          <w:szCs w:val="24"/>
        </w:rPr>
        <w:t>p</w:t>
      </w:r>
      <w:r w:rsidRPr="6E2346AC">
        <w:rPr>
          <w:rFonts w:ascii="Cambria" w:hAnsi="Cambria"/>
          <w:sz w:val="24"/>
          <w:szCs w:val="24"/>
        </w:rPr>
        <w:t xml:space="preserve"> = 0.01). Finally, ACEs (physical abuse, sexual abuse, and whether taken to a doctor) significantly interacted with CRP to predict pain. This study suggests mechanisms of the impact of ACEs on chronic pain may include inflammation and anxiety, which warrants further study.</w:t>
      </w:r>
    </w:p>
    <w:p w14:paraId="5D9B7886" w14:textId="77777777" w:rsidR="009832C0" w:rsidRPr="00CD2F5C" w:rsidRDefault="009832C0" w:rsidP="002B0F75">
      <w:pPr>
        <w:spacing w:line="360" w:lineRule="auto"/>
        <w:rPr>
          <w:rFonts w:ascii="Cambria" w:hAnsi="Cambria"/>
          <w:sz w:val="24"/>
          <w:szCs w:val="24"/>
        </w:rPr>
      </w:pPr>
    </w:p>
    <w:p w14:paraId="681F4D4C"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br w:type="page"/>
      </w:r>
    </w:p>
    <w:p w14:paraId="13E55C24" w14:textId="77777777" w:rsidR="009832C0" w:rsidRPr="00CD2F5C" w:rsidRDefault="009832C0" w:rsidP="002B0F75">
      <w:pPr>
        <w:spacing w:line="360" w:lineRule="auto"/>
        <w:rPr>
          <w:rFonts w:ascii="Cambria" w:hAnsi="Cambria"/>
          <w:b/>
          <w:bCs/>
          <w:sz w:val="24"/>
          <w:szCs w:val="24"/>
        </w:rPr>
      </w:pPr>
      <w:r w:rsidRPr="00CD2F5C">
        <w:rPr>
          <w:rFonts w:ascii="Cambria" w:hAnsi="Cambria"/>
          <w:b/>
          <w:bCs/>
          <w:sz w:val="24"/>
          <w:szCs w:val="24"/>
        </w:rPr>
        <w:lastRenderedPageBreak/>
        <w:t>Introduction</w:t>
      </w:r>
    </w:p>
    <w:p w14:paraId="610C8A66" w14:textId="0CC80810" w:rsidR="009832C0" w:rsidRPr="00CD2F5C" w:rsidRDefault="009832C0" w:rsidP="002B0F75">
      <w:pPr>
        <w:spacing w:line="360" w:lineRule="auto"/>
        <w:rPr>
          <w:rFonts w:ascii="Cambria" w:hAnsi="Cambria"/>
          <w:sz w:val="24"/>
          <w:szCs w:val="24"/>
        </w:rPr>
      </w:pPr>
      <w:r w:rsidRPr="00CD2F5C">
        <w:rPr>
          <w:rFonts w:ascii="Cambria" w:hAnsi="Cambria"/>
          <w:sz w:val="24"/>
          <w:szCs w:val="24"/>
        </w:rPr>
        <w:t>During traumatic and tense experiences, the brain is in a heightened state of stress, which can have negative impacts over time</w:t>
      </w:r>
      <w:r w:rsidR="00014B99">
        <w:rPr>
          <w:rFonts w:ascii="Cambria" w:hAnsi="Cambria"/>
          <w:sz w:val="24"/>
          <w:szCs w:val="24"/>
          <w:vertAlign w:val="superscript"/>
        </w:rPr>
        <w:t xml:space="preserve"> </w:t>
      </w:r>
      <w:r w:rsidR="00014B99">
        <w:rPr>
          <w:rFonts w:ascii="Cambria" w:hAnsi="Cambria"/>
          <w:sz w:val="24"/>
          <w:szCs w:val="24"/>
        </w:rPr>
        <w:t>(Bremner 2006)</w:t>
      </w:r>
      <w:r w:rsidRPr="00CD2F5C">
        <w:rPr>
          <w:rFonts w:ascii="Cambria" w:hAnsi="Cambria"/>
          <w:sz w:val="24"/>
          <w:szCs w:val="24"/>
        </w:rPr>
        <w:t xml:space="preserve">. Existing research has focused on </w:t>
      </w:r>
      <w:r w:rsidR="00014B99" w:rsidRPr="00CD2F5C">
        <w:rPr>
          <w:rFonts w:ascii="Cambria" w:hAnsi="Cambria"/>
          <w:sz w:val="24"/>
          <w:szCs w:val="24"/>
        </w:rPr>
        <w:t>behavioural</w:t>
      </w:r>
      <w:r w:rsidRPr="00CD2F5C">
        <w:rPr>
          <w:rFonts w:ascii="Cambria" w:hAnsi="Cambria"/>
          <w:sz w:val="24"/>
          <w:szCs w:val="24"/>
        </w:rPr>
        <w:t xml:space="preserve"> responses, emotional development, and mental and physical health after stress, but research addressing a direct link between anxiety as a response to trauma and the experience of chronic pain in adults is limited. The long‐term impacts of the hyperarousal experienced in situations of high anxiety and stress are not fully understood when considering pain, although studies on depression and posttraumatic stress disorder (PTSD) have examined how these conditions are associated with pain experiences</w:t>
      </w:r>
      <w:r w:rsidRPr="00CD2F5C">
        <w:rPr>
          <w:rFonts w:ascii="Cambria" w:hAnsi="Cambria"/>
          <w:sz w:val="24"/>
          <w:szCs w:val="24"/>
          <w:vertAlign w:val="superscript"/>
        </w:rPr>
        <w:t>2</w:t>
      </w:r>
      <w:r w:rsidRPr="00CD2F5C">
        <w:rPr>
          <w:rFonts w:ascii="Cambria" w:hAnsi="Cambria"/>
          <w:sz w:val="24"/>
          <w:szCs w:val="24"/>
        </w:rPr>
        <w:t>. For example, one study</w:t>
      </w:r>
      <w:r w:rsidR="00436737">
        <w:rPr>
          <w:rFonts w:ascii="Cambria" w:hAnsi="Cambria"/>
          <w:sz w:val="24"/>
          <w:szCs w:val="24"/>
        </w:rPr>
        <w:t xml:space="preserve"> (Morasco et al. 2013)</w:t>
      </w:r>
      <w:r w:rsidRPr="00CD2F5C">
        <w:rPr>
          <w:rFonts w:ascii="Cambria" w:hAnsi="Cambria"/>
          <w:sz w:val="24"/>
          <w:szCs w:val="24"/>
        </w:rPr>
        <w:t xml:space="preserve"> found that specific pain coping strategies and depressive symptoms had a partially mediating effect on the relationship between PTSD and both pain interference and severity. Prior studies of depression have also indicated a higher prevalence of inflammation, particularly in adults who experienced early life a d</w:t>
      </w:r>
      <w:r w:rsidR="00AB66B5">
        <w:rPr>
          <w:rFonts w:ascii="Cambria" w:hAnsi="Cambria"/>
          <w:sz w:val="24"/>
          <w:szCs w:val="24"/>
        </w:rPr>
        <w:t>i</w:t>
      </w:r>
      <w:r w:rsidRPr="00CD2F5C">
        <w:rPr>
          <w:rFonts w:ascii="Cambria" w:hAnsi="Cambria"/>
          <w:sz w:val="24"/>
          <w:szCs w:val="24"/>
        </w:rPr>
        <w:t>versity</w:t>
      </w:r>
      <w:r w:rsidR="00AB66B5">
        <w:rPr>
          <w:rFonts w:ascii="Cambria" w:hAnsi="Cambria"/>
          <w:sz w:val="24"/>
          <w:szCs w:val="24"/>
        </w:rPr>
        <w:t xml:space="preserve"> (Miller 2020)</w:t>
      </w:r>
      <w:r w:rsidRPr="00CD2F5C">
        <w:rPr>
          <w:rFonts w:ascii="Cambria" w:hAnsi="Cambria"/>
          <w:sz w:val="24"/>
          <w:szCs w:val="24"/>
        </w:rPr>
        <w:t>.</w:t>
      </w:r>
    </w:p>
    <w:p w14:paraId="3926432C" w14:textId="4A4561D3"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Additionally, a large body of research has examined whether early life adversity or childhood adverse experiences (ACEs) contribute to the development of chronic pain in adulthood. The concept that childhood maltreatment predisposes individuals to develop pain conditions has been especially prevalent for disorders that involve unexplained pain paired with psychological complaints such as anxiety. One mechanism identified as a potential mediator of the relationship between ACEs and </w:t>
      </w:r>
      <w:r w:rsidR="00AE75F3">
        <w:rPr>
          <w:rFonts w:ascii="Cambria" w:hAnsi="Cambria"/>
          <w:sz w:val="24"/>
          <w:szCs w:val="24"/>
        </w:rPr>
        <w:t xml:space="preserve">later vulnerability to </w:t>
      </w:r>
      <w:r w:rsidRPr="00CD2F5C">
        <w:rPr>
          <w:rFonts w:ascii="Cambria" w:hAnsi="Cambria"/>
          <w:sz w:val="24"/>
          <w:szCs w:val="24"/>
        </w:rPr>
        <w:t>chronic pain in adulthood is dysregulation of the hypothalamic pituitary adrenocortical (HPA) axis</w:t>
      </w:r>
      <w:r w:rsidR="00AB66B5">
        <w:rPr>
          <w:rFonts w:ascii="Cambria" w:hAnsi="Cambria"/>
          <w:sz w:val="24"/>
          <w:szCs w:val="24"/>
        </w:rPr>
        <w:t xml:space="preserve"> (Nicolson et al. 2010)</w:t>
      </w:r>
      <w:r w:rsidRPr="00CD2F5C">
        <w:rPr>
          <w:rFonts w:ascii="Cambria" w:hAnsi="Cambria"/>
          <w:sz w:val="24"/>
          <w:szCs w:val="24"/>
        </w:rPr>
        <w:t>. The HPA axis is a complex system of neuroendocrine pathways involving the hypothalamus, anterior pituitary gland, and adrenal gland that function to maintain physiological balance via metabolism, immune responses, and the autonomic nervous system</w:t>
      </w:r>
      <w:r w:rsidR="00AB66B5">
        <w:rPr>
          <w:rFonts w:ascii="Cambria" w:hAnsi="Cambria"/>
          <w:sz w:val="24"/>
          <w:szCs w:val="24"/>
        </w:rPr>
        <w:t xml:space="preserve"> (Sheng et al. 2020)</w:t>
      </w:r>
      <w:r w:rsidRPr="00CD2F5C">
        <w:rPr>
          <w:rFonts w:ascii="Cambria" w:hAnsi="Cambria"/>
          <w:sz w:val="24"/>
          <w:szCs w:val="24"/>
        </w:rPr>
        <w:t>. Experiencing ongoing ACEs may influence both the degree and the direction of HPA axis a</w:t>
      </w:r>
      <w:r w:rsidRPr="00225BEB">
        <w:rPr>
          <w:rFonts w:ascii="Cambria" w:hAnsi="Cambria"/>
          <w:sz w:val="24"/>
          <w:szCs w:val="24"/>
        </w:rPr>
        <w:t>bnormalities</w:t>
      </w:r>
      <w:r w:rsidR="00225BEB" w:rsidRPr="00225BEB">
        <w:rPr>
          <w:rFonts w:ascii="Cambria" w:hAnsi="Cambria"/>
          <w:sz w:val="24"/>
          <w:szCs w:val="24"/>
        </w:rPr>
        <w:t xml:space="preserve"> (Gunnar </w:t>
      </w:r>
      <w:r w:rsidR="00225BEB">
        <w:rPr>
          <w:rFonts w:ascii="Cambria" w:hAnsi="Cambria"/>
          <w:sz w:val="24"/>
          <w:szCs w:val="24"/>
        </w:rPr>
        <w:t xml:space="preserve">&amp; </w:t>
      </w:r>
      <w:r w:rsidR="00225BEB" w:rsidRPr="00225BEB">
        <w:rPr>
          <w:rFonts w:ascii="Cambria" w:hAnsi="Cambria"/>
          <w:sz w:val="24"/>
          <w:szCs w:val="24"/>
        </w:rPr>
        <w:t>Vazquez</w:t>
      </w:r>
      <w:r w:rsidR="00225BEB">
        <w:rPr>
          <w:rFonts w:ascii="Cambria" w:hAnsi="Cambria"/>
          <w:sz w:val="24"/>
          <w:szCs w:val="24"/>
        </w:rPr>
        <w:t xml:space="preserve"> 2006</w:t>
      </w:r>
      <w:r w:rsidR="00225BEB" w:rsidRPr="00225BEB">
        <w:rPr>
          <w:rFonts w:ascii="Cambria" w:hAnsi="Cambria"/>
          <w:sz w:val="24"/>
          <w:szCs w:val="24"/>
        </w:rPr>
        <w:t>)</w:t>
      </w:r>
      <w:r w:rsidRPr="00CD2F5C">
        <w:rPr>
          <w:rFonts w:ascii="Cambria" w:hAnsi="Cambria"/>
          <w:sz w:val="24"/>
          <w:szCs w:val="24"/>
        </w:rPr>
        <w:t xml:space="preserve"> These abnormalities can then affect other biological processes such as inflammation</w:t>
      </w:r>
      <w:r w:rsidR="00AB66B5">
        <w:rPr>
          <w:rFonts w:ascii="Cambria" w:hAnsi="Cambria"/>
          <w:sz w:val="24"/>
          <w:szCs w:val="24"/>
        </w:rPr>
        <w:t xml:space="preserve"> (</w:t>
      </w:r>
      <w:proofErr w:type="spellStart"/>
      <w:r w:rsidR="00AB66B5" w:rsidRPr="00AB66B5">
        <w:rPr>
          <w:rFonts w:ascii="Cambria" w:hAnsi="Cambria"/>
          <w:sz w:val="24"/>
          <w:szCs w:val="24"/>
        </w:rPr>
        <w:t>Chrousos</w:t>
      </w:r>
      <w:proofErr w:type="spellEnd"/>
      <w:r w:rsidR="00AB66B5">
        <w:rPr>
          <w:rFonts w:ascii="Cambria" w:hAnsi="Cambria"/>
          <w:sz w:val="24"/>
          <w:szCs w:val="24"/>
        </w:rPr>
        <w:t xml:space="preserve"> 1995; </w:t>
      </w:r>
      <w:r w:rsidR="00AB66B5" w:rsidRPr="00AB66B5">
        <w:rPr>
          <w:rFonts w:ascii="Cambria" w:hAnsi="Cambria"/>
          <w:sz w:val="24"/>
          <w:szCs w:val="24"/>
        </w:rPr>
        <w:t>Muniz Carvalho</w:t>
      </w:r>
      <w:r w:rsidR="00AB66B5">
        <w:rPr>
          <w:rFonts w:ascii="Cambria" w:hAnsi="Cambria"/>
          <w:sz w:val="24"/>
          <w:szCs w:val="24"/>
        </w:rPr>
        <w:t xml:space="preserve"> et al. 2021)</w:t>
      </w:r>
      <w:r w:rsidRPr="00CD2F5C">
        <w:rPr>
          <w:rFonts w:ascii="Cambria" w:hAnsi="Cambria"/>
          <w:sz w:val="24"/>
          <w:szCs w:val="24"/>
        </w:rPr>
        <w:t>.</w:t>
      </w:r>
    </w:p>
    <w:p w14:paraId="0BEBB9D7" w14:textId="22879DF3"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 xml:space="preserve">Specific inflammatory processes, as reflected by blood-based markers such as C-reactive protein (CRP)—a protein that responds to inflammatory stimuli by triggering cellular reactions—could also be involved in the biological component effects of ACEs. Elevated levels of proinflammatory cytokines like interleukins—a downstream product of CRP </w:t>
      </w:r>
      <w:r w:rsidR="0025173D" w:rsidRPr="00CD2F5C">
        <w:rPr>
          <w:rFonts w:ascii="Cambria" w:hAnsi="Cambria"/>
          <w:sz w:val="24"/>
          <w:szCs w:val="24"/>
        </w:rPr>
        <w:t>signalling</w:t>
      </w:r>
      <w:r w:rsidRPr="00CD2F5C">
        <w:rPr>
          <w:rFonts w:ascii="Cambria" w:hAnsi="Cambria"/>
          <w:sz w:val="24"/>
          <w:szCs w:val="24"/>
        </w:rPr>
        <w:t>, and acute-phase proteins including CRP—have been observed in the plasma of individuals who have experienced ACEs</w:t>
      </w:r>
      <w:r w:rsidR="00AB66B5">
        <w:rPr>
          <w:rFonts w:ascii="Cambria" w:hAnsi="Cambria"/>
          <w:sz w:val="24"/>
          <w:szCs w:val="24"/>
        </w:rPr>
        <w:t xml:space="preserve"> (Wei et al. 2020)</w:t>
      </w:r>
      <w:r w:rsidRPr="00CD2F5C">
        <w:rPr>
          <w:rFonts w:ascii="Cambria" w:hAnsi="Cambria"/>
          <w:sz w:val="24"/>
          <w:szCs w:val="24"/>
        </w:rPr>
        <w:t>. Meta-analyses of cross-sectional studies have also confirmed the association of higher inflammation with traumatic experiences</w:t>
      </w:r>
      <w:r w:rsidR="00AB66B5">
        <w:rPr>
          <w:rFonts w:ascii="Cambria" w:hAnsi="Cambria"/>
          <w:sz w:val="24"/>
          <w:szCs w:val="24"/>
        </w:rPr>
        <w:t xml:space="preserve"> (Wei et al. 2020)</w:t>
      </w:r>
      <w:r w:rsidR="00AB66B5" w:rsidRPr="00CD2F5C">
        <w:rPr>
          <w:rFonts w:ascii="Cambria" w:hAnsi="Cambria"/>
          <w:sz w:val="24"/>
          <w:szCs w:val="24"/>
        </w:rPr>
        <w:t>.</w:t>
      </w:r>
    </w:p>
    <w:p w14:paraId="6D453230" w14:textId="3BCB204D" w:rsidR="009832C0" w:rsidRPr="00CD2F5C" w:rsidRDefault="009832C0" w:rsidP="002B0F75">
      <w:pPr>
        <w:spacing w:line="360" w:lineRule="auto"/>
        <w:rPr>
          <w:rFonts w:ascii="Cambria" w:hAnsi="Cambria"/>
          <w:sz w:val="24"/>
          <w:szCs w:val="24"/>
        </w:rPr>
      </w:pPr>
      <w:r w:rsidRPr="00CD2F5C">
        <w:rPr>
          <w:rFonts w:ascii="Cambria" w:hAnsi="Cambria"/>
          <w:sz w:val="24"/>
          <w:szCs w:val="24"/>
        </w:rPr>
        <w:t>Further, longitudinal studies have provided evidence supporting a bidirectional association: elevated inflammation may contribute to trauma symptoms, which in turn contribute to more elevated inflammation. Trauma symptoms are also known to be associated with several chronic diseases that have a confirmed inflammatory component, ranging from cardiovascular to chronic pain</w:t>
      </w:r>
      <w:r w:rsidR="00AB66B5">
        <w:rPr>
          <w:rFonts w:ascii="Cambria" w:hAnsi="Cambria"/>
          <w:sz w:val="24"/>
          <w:szCs w:val="24"/>
          <w:vertAlign w:val="superscript"/>
        </w:rPr>
        <w:t xml:space="preserve"> </w:t>
      </w:r>
      <w:r w:rsidR="00AB66B5">
        <w:rPr>
          <w:rFonts w:ascii="Cambria" w:hAnsi="Cambria"/>
          <w:sz w:val="24"/>
          <w:szCs w:val="24"/>
        </w:rPr>
        <w:t>(Wei et al. 2020)</w:t>
      </w:r>
      <w:r w:rsidR="00AB66B5" w:rsidRPr="00CD2F5C">
        <w:rPr>
          <w:rFonts w:ascii="Cambria" w:hAnsi="Cambria"/>
          <w:sz w:val="24"/>
          <w:szCs w:val="24"/>
        </w:rPr>
        <w:t>.</w:t>
      </w:r>
      <w:r w:rsidRPr="00CD2F5C">
        <w:rPr>
          <w:rFonts w:ascii="Cambria" w:hAnsi="Cambria"/>
          <w:sz w:val="24"/>
          <w:szCs w:val="24"/>
        </w:rPr>
        <w:t xml:space="preserve"> Neuropeptides, which can exhibit a variety of inflammatory effects, modulate neural activity and other tissues, including the gut and heart</w:t>
      </w:r>
      <w:r w:rsidR="00AB66B5">
        <w:rPr>
          <w:rFonts w:ascii="Cambria" w:hAnsi="Cambria"/>
          <w:sz w:val="24"/>
          <w:szCs w:val="24"/>
        </w:rPr>
        <w:t xml:space="preserve"> (</w:t>
      </w:r>
      <w:proofErr w:type="spellStart"/>
      <w:r w:rsidR="00AB66B5" w:rsidRPr="00AB66B5">
        <w:rPr>
          <w:rFonts w:ascii="Cambria" w:hAnsi="Cambria"/>
          <w:sz w:val="24"/>
          <w:szCs w:val="24"/>
        </w:rPr>
        <w:t>Milaneschi</w:t>
      </w:r>
      <w:proofErr w:type="spellEnd"/>
      <w:r w:rsidR="00AB66B5" w:rsidRPr="00AB66B5">
        <w:rPr>
          <w:rFonts w:ascii="Cambria" w:hAnsi="Cambria"/>
          <w:sz w:val="24"/>
          <w:szCs w:val="24"/>
        </w:rPr>
        <w:t xml:space="preserve"> </w:t>
      </w:r>
      <w:r w:rsidR="00AB66B5">
        <w:rPr>
          <w:rFonts w:ascii="Cambria" w:hAnsi="Cambria"/>
          <w:sz w:val="24"/>
          <w:szCs w:val="24"/>
        </w:rPr>
        <w:t>et al. 2021)</w:t>
      </w:r>
      <w:r w:rsidR="00AB66B5" w:rsidRPr="00CD2F5C">
        <w:rPr>
          <w:rFonts w:ascii="Cambria" w:hAnsi="Cambria"/>
          <w:sz w:val="24"/>
          <w:szCs w:val="24"/>
        </w:rPr>
        <w:t>.</w:t>
      </w:r>
      <w:r w:rsidRPr="00CD2F5C">
        <w:rPr>
          <w:rFonts w:ascii="Cambria" w:hAnsi="Cambria"/>
          <w:sz w:val="24"/>
          <w:szCs w:val="24"/>
        </w:rPr>
        <w:t>, and it is possible that ACE exposure could impact normal neuropeptide synthesis. This can lead to disruptions in HPA axis development, which may then lead to abnormal physiological functioning in adulthood and increase the risk for disease and chronic problems in adulthood</w:t>
      </w:r>
      <w:r w:rsidR="00AB66B5">
        <w:rPr>
          <w:rFonts w:ascii="Cambria" w:hAnsi="Cambria"/>
          <w:sz w:val="24"/>
          <w:szCs w:val="24"/>
          <w:vertAlign w:val="superscript"/>
        </w:rPr>
        <w:t xml:space="preserve"> </w:t>
      </w:r>
      <w:r w:rsidR="00AB66B5">
        <w:rPr>
          <w:rFonts w:ascii="Cambria" w:hAnsi="Cambria"/>
          <w:sz w:val="24"/>
          <w:szCs w:val="24"/>
        </w:rPr>
        <w:t>(Sheng et al. 2021)</w:t>
      </w:r>
      <w:r w:rsidR="00AB66B5" w:rsidRPr="00CD2F5C">
        <w:rPr>
          <w:rFonts w:ascii="Cambria" w:hAnsi="Cambria"/>
          <w:sz w:val="24"/>
          <w:szCs w:val="24"/>
        </w:rPr>
        <w:t>.</w:t>
      </w:r>
    </w:p>
    <w:p w14:paraId="12A3476A" w14:textId="3507D9E8" w:rsidR="009832C0" w:rsidRPr="00CD2F5C" w:rsidRDefault="009832C0" w:rsidP="002B0F75">
      <w:pPr>
        <w:spacing w:line="360" w:lineRule="auto"/>
        <w:rPr>
          <w:rFonts w:ascii="Cambria" w:hAnsi="Cambria"/>
          <w:sz w:val="24"/>
          <w:szCs w:val="24"/>
        </w:rPr>
      </w:pPr>
      <w:r w:rsidRPr="00CD2F5C">
        <w:rPr>
          <w:rFonts w:ascii="Cambria" w:hAnsi="Cambria"/>
          <w:sz w:val="24"/>
          <w:szCs w:val="24"/>
        </w:rPr>
        <w:t>Beyond their link with trauma symptomology, proinflammatory cytokines at higher levels may also influence neurotransmission. This can result in an altered production of neurotransmitters, which may be associated with specific psychiatric symptoms, and these cytokines could also impact neurocircuitry, causing changes in an individual’s levels and functionality of motivation, alarm-based responses, and anxiety</w:t>
      </w:r>
      <w:r w:rsidR="00AB66B5">
        <w:rPr>
          <w:rFonts w:ascii="Cambria" w:hAnsi="Cambria"/>
          <w:sz w:val="24"/>
          <w:szCs w:val="24"/>
          <w:vertAlign w:val="superscript"/>
        </w:rPr>
        <w:t xml:space="preserve"> </w:t>
      </w:r>
      <w:r w:rsidR="00AB66B5">
        <w:rPr>
          <w:rFonts w:ascii="Cambria" w:hAnsi="Cambria"/>
          <w:sz w:val="24"/>
          <w:szCs w:val="24"/>
        </w:rPr>
        <w:t>(Wei et al. 2020)</w:t>
      </w:r>
      <w:r w:rsidR="00AB66B5" w:rsidRPr="00CD2F5C">
        <w:rPr>
          <w:rFonts w:ascii="Cambria" w:hAnsi="Cambria"/>
          <w:sz w:val="24"/>
          <w:szCs w:val="24"/>
        </w:rPr>
        <w:t xml:space="preserve">. </w:t>
      </w:r>
      <w:r w:rsidRPr="00CD2F5C">
        <w:rPr>
          <w:rFonts w:ascii="Cambria" w:hAnsi="Cambria"/>
          <w:sz w:val="24"/>
          <w:szCs w:val="24"/>
        </w:rPr>
        <w:t>However, studies of inflammation and anxiety symptoms remain scarce</w:t>
      </w:r>
      <w:r w:rsidR="00F67B5B">
        <w:rPr>
          <w:rFonts w:ascii="Cambria" w:hAnsi="Cambria"/>
          <w:sz w:val="24"/>
          <w:szCs w:val="24"/>
          <w:vertAlign w:val="superscript"/>
        </w:rPr>
        <w:t xml:space="preserve"> </w:t>
      </w:r>
      <w:r w:rsidR="00F67B5B">
        <w:rPr>
          <w:rFonts w:ascii="Cambria" w:hAnsi="Cambria"/>
          <w:sz w:val="24"/>
          <w:szCs w:val="24"/>
        </w:rPr>
        <w:t>(Zhuo et al. 2016)</w:t>
      </w:r>
      <w:r w:rsidR="00F67B5B" w:rsidRPr="00CD2F5C">
        <w:rPr>
          <w:rFonts w:ascii="Cambria" w:hAnsi="Cambria"/>
          <w:sz w:val="24"/>
          <w:szCs w:val="24"/>
        </w:rPr>
        <w:t xml:space="preserve">. </w:t>
      </w:r>
      <w:r w:rsidRPr="00CD2F5C">
        <w:rPr>
          <w:rFonts w:ascii="Cambria" w:hAnsi="Cambria"/>
          <w:sz w:val="24"/>
          <w:szCs w:val="24"/>
        </w:rPr>
        <w:t>Indeed, most prior studies on anxiety were typically limited to the context of psychology and exclude a biological component</w:t>
      </w:r>
      <w:r w:rsidR="00F67B5B">
        <w:rPr>
          <w:rFonts w:ascii="Cambria" w:hAnsi="Cambria"/>
          <w:sz w:val="24"/>
          <w:szCs w:val="24"/>
          <w:vertAlign w:val="superscript"/>
        </w:rPr>
        <w:t xml:space="preserve"> </w:t>
      </w:r>
      <w:r w:rsidR="00F67B5B">
        <w:rPr>
          <w:rFonts w:ascii="Cambria" w:hAnsi="Cambria"/>
          <w:sz w:val="24"/>
          <w:szCs w:val="24"/>
        </w:rPr>
        <w:t>(</w:t>
      </w:r>
      <w:r w:rsidR="00F67B5B" w:rsidRPr="00F67B5B">
        <w:rPr>
          <w:rFonts w:ascii="Cambria" w:hAnsi="Cambria"/>
          <w:sz w:val="24"/>
          <w:szCs w:val="24"/>
        </w:rPr>
        <w:t xml:space="preserve">Monnat &amp; Chandler </w:t>
      </w:r>
      <w:r w:rsidR="00F67B5B">
        <w:rPr>
          <w:rFonts w:ascii="Cambria" w:hAnsi="Cambria"/>
          <w:sz w:val="24"/>
          <w:szCs w:val="24"/>
        </w:rPr>
        <w:t>2015)</w:t>
      </w:r>
      <w:r w:rsidR="00F67B5B" w:rsidRPr="00CD2F5C">
        <w:rPr>
          <w:rFonts w:ascii="Cambria" w:hAnsi="Cambria"/>
          <w:sz w:val="24"/>
          <w:szCs w:val="24"/>
        </w:rPr>
        <w:t xml:space="preserve">. </w:t>
      </w:r>
      <w:r w:rsidRPr="00CD2F5C">
        <w:rPr>
          <w:rFonts w:ascii="Cambria" w:hAnsi="Cambria"/>
          <w:sz w:val="24"/>
          <w:szCs w:val="24"/>
        </w:rPr>
        <w:t>In the last decade, neuroimaging studies have improved insights of brain pathways potentially mediating an anxiety–chronic pain interaction, with multiple brain areas implicated including the amygdala, anterior cingulate cortex, and insular cortex</w:t>
      </w:r>
      <w:r w:rsidR="00F67B5B" w:rsidRPr="00F67B5B">
        <w:rPr>
          <w:rFonts w:ascii="Cambria" w:hAnsi="Cambria"/>
          <w:sz w:val="24"/>
          <w:szCs w:val="24"/>
        </w:rPr>
        <w:t xml:space="preserve"> </w:t>
      </w:r>
      <w:r w:rsidR="00F67B5B">
        <w:rPr>
          <w:rFonts w:ascii="Cambria" w:hAnsi="Cambria"/>
          <w:sz w:val="24"/>
          <w:szCs w:val="24"/>
        </w:rPr>
        <w:t>(</w:t>
      </w:r>
      <w:r w:rsidR="00F67B5B" w:rsidRPr="00F67B5B">
        <w:rPr>
          <w:rFonts w:ascii="Cambria" w:hAnsi="Cambria"/>
          <w:sz w:val="24"/>
          <w:szCs w:val="24"/>
        </w:rPr>
        <w:t xml:space="preserve">Monnat &amp; Chandler </w:t>
      </w:r>
      <w:r w:rsidR="00F67B5B">
        <w:rPr>
          <w:rFonts w:ascii="Cambria" w:hAnsi="Cambria"/>
          <w:sz w:val="24"/>
          <w:szCs w:val="24"/>
        </w:rPr>
        <w:t>2015)</w:t>
      </w:r>
      <w:r w:rsidR="00F67B5B" w:rsidRPr="00CD2F5C">
        <w:rPr>
          <w:rFonts w:ascii="Cambria" w:hAnsi="Cambria"/>
          <w:sz w:val="24"/>
          <w:szCs w:val="24"/>
        </w:rPr>
        <w:t>.</w:t>
      </w:r>
    </w:p>
    <w:p w14:paraId="1CF7573F" w14:textId="5F983BCE"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 xml:space="preserve">There remains a lack of understanding of the complex pathways linking ACEs to poor adult health outcomes and exactly how those pathways may vary across different adverse adult outcomes, such as chronic pain versus heart disease </w:t>
      </w:r>
      <w:r w:rsidR="002311F6">
        <w:rPr>
          <w:rFonts w:ascii="Cambria" w:hAnsi="Cambria"/>
          <w:sz w:val="24"/>
          <w:szCs w:val="24"/>
        </w:rPr>
        <w:t>(Ramirez et al.</w:t>
      </w:r>
      <w:r w:rsidR="002311F6" w:rsidRPr="00F67B5B">
        <w:rPr>
          <w:rFonts w:ascii="Cambria" w:hAnsi="Cambria"/>
          <w:sz w:val="24"/>
          <w:szCs w:val="24"/>
        </w:rPr>
        <w:t xml:space="preserve"> </w:t>
      </w:r>
      <w:r w:rsidR="002311F6">
        <w:rPr>
          <w:rFonts w:ascii="Cambria" w:hAnsi="Cambria"/>
          <w:sz w:val="24"/>
          <w:szCs w:val="24"/>
        </w:rPr>
        <w:t>2022)</w:t>
      </w:r>
      <w:r w:rsidR="002311F6" w:rsidRPr="00CD2F5C">
        <w:rPr>
          <w:rFonts w:ascii="Cambria" w:hAnsi="Cambria"/>
          <w:sz w:val="24"/>
          <w:szCs w:val="24"/>
        </w:rPr>
        <w:t>.</w:t>
      </w:r>
      <w:r w:rsidR="002311F6">
        <w:rPr>
          <w:rFonts w:ascii="Cambria" w:hAnsi="Cambria"/>
          <w:sz w:val="24"/>
          <w:szCs w:val="24"/>
        </w:rPr>
        <w:t xml:space="preserve"> </w:t>
      </w:r>
      <w:r w:rsidRPr="00CD2F5C">
        <w:rPr>
          <w:rFonts w:ascii="Cambria" w:hAnsi="Cambria"/>
          <w:sz w:val="24"/>
          <w:szCs w:val="24"/>
        </w:rPr>
        <w:t>In particular, despite a clear link between anxiety and ACEs, as well as between anxiety and chronic pain, the role of anxiety in the pathway between ACEs and chronic pain is not yet understood. Limited evidence suggests that ACEs can influence biophysiological functioning in adults with chronic pain. However, whether the link between ACEs and biophysiological functioning is unique to individuals with chronic pain or can be accounted for or exacerbated by current psychopathologies or inflammatory biomarkers remains unclear. Understanding the potential mechanisms underlying the ACE-inflammation association could potentially lead to important implications for systemic-level dysfunction after early life adversity and resulting health outcomes in adulthood. The purpose of the current analysis was to examine the relationships between reported ACE(s), anxiety, and levels of CRP in adults with chronic pain.</w:t>
      </w:r>
    </w:p>
    <w:p w14:paraId="57DAC608"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Primary objectives</w:t>
      </w:r>
    </w:p>
    <w:p w14:paraId="7EEBF8F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first objective of this study was to investigate the relationship between ACEs, anxiety diagnosis, and chronic pain experience. A second objective was to explore whether ACEs, anxiety, and chronic pain experiences in adults are also associated with the inflammatory biomarker CRP and examine its role in the ACE-anxiety-pain pathway. It was hypothesized that there would be a significant association between ACEs, anxiety, and chronic pain experiences, and that CRP may also relate to some or all of these variables.</w:t>
      </w:r>
    </w:p>
    <w:p w14:paraId="3DBA462A"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Methods</w:t>
      </w:r>
    </w:p>
    <w:p w14:paraId="2E22829D"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Data source</w:t>
      </w:r>
    </w:p>
    <w:p w14:paraId="7CF9943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dataset used—the UK Biobank (UKB)—holds an unprecedented amount of data on half a million participants aged 40–69 years (with a roughly even number of men and women) recruited between 2006 and 2010 throughout the UK. This retrospective analysis involved deidentified case data from 25,249 adults who participated in the UKB and met the inclusion criteria for this study. General inclusion for the current analyses required adults with at least one chronic pain measure (from Table 1), reported history of ACEs, and </w:t>
      </w:r>
      <w:r w:rsidRPr="00CD2F5C">
        <w:rPr>
          <w:rFonts w:ascii="Cambria" w:hAnsi="Cambria"/>
          <w:sz w:val="24"/>
          <w:szCs w:val="24"/>
        </w:rPr>
        <w:lastRenderedPageBreak/>
        <w:t>reported anxiety. Participants were excluded if they reported no anxiety, no chronic pain, and no ACEs.</w:t>
      </w:r>
    </w:p>
    <w:p w14:paraId="0DB7808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Each objective had a different sample size due to exclusion criteria and availability of records. The way each exclusion criterion was interpreted was different for each. If the participant was excluded due to no anxiety, it meant they did not meet one of the three included anxiety measures (had informed a professional about their anxiety, reported muscular symptoms related to anxiety episodes, or reported trouble relaxing in relation to anxiety episodes). For exclusion due to no chronic pain, the person never reported pain of any type during their visits. For exclusion due to no ACEs, the participant did not report on at least one instance of an ACE as assessed by the biobank (see Table 1).</w:t>
      </w:r>
    </w:p>
    <w:p w14:paraId="53CBB68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Ethical approval for this study was provided by the University of Stirling General University Ethics Panel, Stirling, UK (reference: EC 2023 13946 9461); all research was performed in accordance with relevant guidelines/ regulations.</w:t>
      </w:r>
    </w:p>
    <w:p w14:paraId="49273FCD"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Variables</w:t>
      </w:r>
    </w:p>
    <w:p w14:paraId="01C769A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UKB datasets include genetics, self-reported medical outcomes, mental health, and more. For this study, the UKB factors of interest examined for this analysis are displayed in Table 1. These UKB factors represent the variables of interest for this study, which were ACE history, self-reported anxiety, and a chronic pain condition for the primary outcomes. The secondary variable included the presence of the inflammatory biomarker CRP.</w:t>
      </w:r>
    </w:p>
    <w:p w14:paraId="5A2BE3E8"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Table 1.  </w:t>
      </w:r>
      <w:r w:rsidRPr="00CD2F5C">
        <w:rPr>
          <w:rFonts w:ascii="Cambria" w:hAnsi="Cambria"/>
          <w:sz w:val="24"/>
          <w:szCs w:val="24"/>
        </w:rPr>
        <w:t>Factors of Interest from the UKB. UKB, UK Biobank.</w:t>
      </w:r>
    </w:p>
    <w:tbl>
      <w:tblPr>
        <w:tblW w:w="9203" w:type="dxa"/>
        <w:tblInd w:w="-3" w:type="dxa"/>
        <w:tblCellMar>
          <w:top w:w="8" w:type="dxa"/>
          <w:left w:w="60" w:type="dxa"/>
          <w:right w:w="115" w:type="dxa"/>
        </w:tblCellMar>
        <w:tblLook w:val="04A0" w:firstRow="1" w:lastRow="0" w:firstColumn="1" w:lastColumn="0" w:noHBand="0" w:noVBand="1"/>
      </w:tblPr>
      <w:tblGrid>
        <w:gridCol w:w="1101"/>
        <w:gridCol w:w="3500"/>
        <w:gridCol w:w="2247"/>
        <w:gridCol w:w="2355"/>
      </w:tblGrid>
      <w:tr w:rsidR="009832C0" w:rsidRPr="00CD2F5C" w14:paraId="0E0D9337"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shd w:val="clear" w:color="auto" w:fill="A7A9AC"/>
            <w:hideMark/>
          </w:tcPr>
          <w:p w14:paraId="60D331BE"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Biobank ID</w:t>
            </w:r>
          </w:p>
        </w:tc>
        <w:tc>
          <w:tcPr>
            <w:tcW w:w="3510" w:type="dxa"/>
            <w:tcBorders>
              <w:top w:val="single" w:sz="2" w:space="0" w:color="000000"/>
              <w:left w:val="single" w:sz="2" w:space="0" w:color="000000"/>
              <w:bottom w:val="single" w:sz="2" w:space="0" w:color="000000"/>
              <w:right w:val="single" w:sz="2" w:space="0" w:color="000000"/>
            </w:tcBorders>
            <w:shd w:val="clear" w:color="auto" w:fill="A7A9AC"/>
            <w:hideMark/>
          </w:tcPr>
          <w:p w14:paraId="21283D89"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Description</w:t>
            </w:r>
          </w:p>
        </w:tc>
        <w:tc>
          <w:tcPr>
            <w:tcW w:w="2250" w:type="dxa"/>
            <w:tcBorders>
              <w:top w:val="single" w:sz="2" w:space="0" w:color="000000"/>
              <w:left w:val="single" w:sz="2" w:space="0" w:color="000000"/>
              <w:bottom w:val="single" w:sz="2" w:space="0" w:color="000000"/>
              <w:right w:val="single" w:sz="2" w:space="0" w:color="000000"/>
            </w:tcBorders>
            <w:shd w:val="clear" w:color="auto" w:fill="A7A9AC"/>
            <w:hideMark/>
          </w:tcPr>
          <w:p w14:paraId="1FCD7FBF"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Category*</w:t>
            </w:r>
          </w:p>
        </w:tc>
        <w:tc>
          <w:tcPr>
            <w:tcW w:w="2363" w:type="dxa"/>
            <w:tcBorders>
              <w:top w:val="single" w:sz="2" w:space="0" w:color="000000"/>
              <w:left w:val="single" w:sz="2" w:space="0" w:color="000000"/>
              <w:bottom w:val="single" w:sz="2" w:space="0" w:color="000000"/>
              <w:right w:val="single" w:sz="2" w:space="0" w:color="000000"/>
            </w:tcBorders>
            <w:shd w:val="clear" w:color="auto" w:fill="A7A9AC"/>
            <w:hideMark/>
          </w:tcPr>
          <w:p w14:paraId="29AA8719"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Response type</w:t>
            </w:r>
          </w:p>
        </w:tc>
      </w:tr>
      <w:tr w:rsidR="009832C0" w:rsidRPr="00CD2F5C" w14:paraId="29B1BE5B"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39D5633F"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1018</w:t>
            </w:r>
          </w:p>
        </w:tc>
        <w:tc>
          <w:tcPr>
            <w:tcW w:w="3510" w:type="dxa"/>
            <w:tcBorders>
              <w:top w:val="single" w:sz="2" w:space="0" w:color="000000"/>
              <w:left w:val="single" w:sz="2" w:space="0" w:color="000000"/>
              <w:bottom w:val="single" w:sz="2" w:space="0" w:color="000000"/>
              <w:right w:val="single" w:sz="2" w:space="0" w:color="000000"/>
            </w:tcBorders>
            <w:hideMark/>
          </w:tcPr>
          <w:p w14:paraId="4A4D3F8D"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Mental health (via online follow-up questionnaire)</w:t>
            </w:r>
          </w:p>
        </w:tc>
        <w:tc>
          <w:tcPr>
            <w:tcW w:w="2250" w:type="dxa"/>
            <w:tcBorders>
              <w:top w:val="single" w:sz="2" w:space="0" w:color="000000"/>
              <w:left w:val="single" w:sz="2" w:space="0" w:color="000000"/>
              <w:bottom w:val="single" w:sz="2" w:space="0" w:color="000000"/>
              <w:right w:val="single" w:sz="2" w:space="0" w:color="000000"/>
            </w:tcBorders>
          </w:tcPr>
          <w:p w14:paraId="108BF1FF" w14:textId="77777777" w:rsidR="009832C0" w:rsidRPr="00CD2F5C" w:rsidRDefault="009832C0" w:rsidP="002B0F75">
            <w:pPr>
              <w:spacing w:line="360" w:lineRule="auto"/>
              <w:rPr>
                <w:rFonts w:ascii="Cambria" w:hAnsi="Cambria"/>
                <w:sz w:val="24"/>
                <w:szCs w:val="24"/>
              </w:rPr>
            </w:pPr>
          </w:p>
        </w:tc>
        <w:tc>
          <w:tcPr>
            <w:tcW w:w="2363" w:type="dxa"/>
            <w:tcBorders>
              <w:top w:val="single" w:sz="2" w:space="0" w:color="000000"/>
              <w:left w:val="single" w:sz="2" w:space="0" w:color="000000"/>
              <w:bottom w:val="single" w:sz="2" w:space="0" w:color="000000"/>
              <w:right w:val="single" w:sz="2" w:space="0" w:color="000000"/>
            </w:tcBorders>
          </w:tcPr>
          <w:p w14:paraId="63CF7B15" w14:textId="77777777" w:rsidR="009832C0" w:rsidRPr="00CD2F5C" w:rsidRDefault="009832C0" w:rsidP="002B0F75">
            <w:pPr>
              <w:spacing w:line="360" w:lineRule="auto"/>
              <w:rPr>
                <w:rFonts w:ascii="Cambria" w:hAnsi="Cambria"/>
                <w:sz w:val="24"/>
                <w:szCs w:val="24"/>
              </w:rPr>
            </w:pPr>
          </w:p>
        </w:tc>
      </w:tr>
      <w:tr w:rsidR="009832C0" w:rsidRPr="00CD2F5C" w14:paraId="753A0243"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22E067D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20487</w:t>
            </w:r>
          </w:p>
        </w:tc>
        <w:tc>
          <w:tcPr>
            <w:tcW w:w="3510" w:type="dxa"/>
            <w:tcBorders>
              <w:top w:val="single" w:sz="2" w:space="0" w:color="000000"/>
              <w:left w:val="single" w:sz="2" w:space="0" w:color="000000"/>
              <w:bottom w:val="single" w:sz="2" w:space="0" w:color="000000"/>
              <w:right w:val="single" w:sz="2" w:space="0" w:color="000000"/>
            </w:tcBorders>
            <w:hideMark/>
          </w:tcPr>
          <w:p w14:paraId="15FCD1E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Felt hated by family member as a child</w:t>
            </w:r>
          </w:p>
        </w:tc>
        <w:tc>
          <w:tcPr>
            <w:tcW w:w="2250" w:type="dxa"/>
            <w:tcBorders>
              <w:top w:val="single" w:sz="2" w:space="0" w:color="000000"/>
              <w:left w:val="single" w:sz="2" w:space="0" w:color="000000"/>
              <w:bottom w:val="single" w:sz="2" w:space="0" w:color="000000"/>
              <w:right w:val="single" w:sz="2" w:space="0" w:color="000000"/>
            </w:tcBorders>
            <w:hideMark/>
          </w:tcPr>
          <w:p w14:paraId="1F0DCEE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ACE/Traumatic events</w:t>
            </w:r>
          </w:p>
        </w:tc>
        <w:tc>
          <w:tcPr>
            <w:tcW w:w="2363" w:type="dxa"/>
            <w:tcBorders>
              <w:top w:val="single" w:sz="2" w:space="0" w:color="000000"/>
              <w:left w:val="single" w:sz="2" w:space="0" w:color="000000"/>
              <w:bottom w:val="single" w:sz="2" w:space="0" w:color="000000"/>
              <w:right w:val="single" w:sz="2" w:space="0" w:color="000000"/>
            </w:tcBorders>
            <w:hideMark/>
          </w:tcPr>
          <w:p w14:paraId="6FC860E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Scale (never–very often)</w:t>
            </w:r>
          </w:p>
        </w:tc>
      </w:tr>
      <w:tr w:rsidR="009832C0" w:rsidRPr="00CD2F5C" w14:paraId="0573764D"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4D75B2D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20488</w:t>
            </w:r>
          </w:p>
        </w:tc>
        <w:tc>
          <w:tcPr>
            <w:tcW w:w="3510" w:type="dxa"/>
            <w:tcBorders>
              <w:top w:val="single" w:sz="2" w:space="0" w:color="000000"/>
              <w:left w:val="single" w:sz="2" w:space="0" w:color="000000"/>
              <w:bottom w:val="single" w:sz="2" w:space="0" w:color="000000"/>
              <w:right w:val="single" w:sz="2" w:space="0" w:color="000000"/>
            </w:tcBorders>
            <w:hideMark/>
          </w:tcPr>
          <w:p w14:paraId="375B78C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Physically abused by family as a child</w:t>
            </w:r>
          </w:p>
        </w:tc>
        <w:tc>
          <w:tcPr>
            <w:tcW w:w="2250" w:type="dxa"/>
            <w:tcBorders>
              <w:top w:val="single" w:sz="2" w:space="0" w:color="000000"/>
              <w:left w:val="single" w:sz="2" w:space="0" w:color="000000"/>
              <w:bottom w:val="single" w:sz="2" w:space="0" w:color="000000"/>
              <w:right w:val="single" w:sz="2" w:space="0" w:color="000000"/>
            </w:tcBorders>
            <w:hideMark/>
          </w:tcPr>
          <w:p w14:paraId="4B34BEA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ACE/Traumatic events</w:t>
            </w:r>
          </w:p>
        </w:tc>
        <w:tc>
          <w:tcPr>
            <w:tcW w:w="2363" w:type="dxa"/>
            <w:tcBorders>
              <w:top w:val="single" w:sz="2" w:space="0" w:color="000000"/>
              <w:left w:val="single" w:sz="2" w:space="0" w:color="000000"/>
              <w:bottom w:val="single" w:sz="2" w:space="0" w:color="000000"/>
              <w:right w:val="single" w:sz="2" w:space="0" w:color="000000"/>
            </w:tcBorders>
            <w:hideMark/>
          </w:tcPr>
          <w:p w14:paraId="4184245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Scale (never–very often)</w:t>
            </w:r>
          </w:p>
        </w:tc>
      </w:tr>
      <w:tr w:rsidR="009832C0" w:rsidRPr="00CD2F5C" w14:paraId="44473A26"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398E272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20489</w:t>
            </w:r>
          </w:p>
        </w:tc>
        <w:tc>
          <w:tcPr>
            <w:tcW w:w="3510" w:type="dxa"/>
            <w:tcBorders>
              <w:top w:val="single" w:sz="2" w:space="0" w:color="000000"/>
              <w:left w:val="single" w:sz="2" w:space="0" w:color="000000"/>
              <w:bottom w:val="single" w:sz="2" w:space="0" w:color="000000"/>
              <w:right w:val="single" w:sz="2" w:space="0" w:color="000000"/>
            </w:tcBorders>
            <w:hideMark/>
          </w:tcPr>
          <w:p w14:paraId="1D80484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Felt loved as a child</w:t>
            </w:r>
          </w:p>
        </w:tc>
        <w:tc>
          <w:tcPr>
            <w:tcW w:w="2250" w:type="dxa"/>
            <w:tcBorders>
              <w:top w:val="single" w:sz="2" w:space="0" w:color="000000"/>
              <w:left w:val="single" w:sz="2" w:space="0" w:color="000000"/>
              <w:bottom w:val="single" w:sz="2" w:space="0" w:color="000000"/>
              <w:right w:val="single" w:sz="2" w:space="0" w:color="000000"/>
            </w:tcBorders>
            <w:hideMark/>
          </w:tcPr>
          <w:p w14:paraId="5D61881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ACE/Traumatic events</w:t>
            </w:r>
          </w:p>
        </w:tc>
        <w:tc>
          <w:tcPr>
            <w:tcW w:w="2363" w:type="dxa"/>
            <w:tcBorders>
              <w:top w:val="single" w:sz="2" w:space="0" w:color="000000"/>
              <w:left w:val="single" w:sz="2" w:space="0" w:color="000000"/>
              <w:bottom w:val="single" w:sz="2" w:space="0" w:color="000000"/>
              <w:right w:val="single" w:sz="2" w:space="0" w:color="000000"/>
            </w:tcBorders>
            <w:hideMark/>
          </w:tcPr>
          <w:p w14:paraId="01AF7C7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Scale (never–very often)</w:t>
            </w:r>
          </w:p>
        </w:tc>
      </w:tr>
      <w:tr w:rsidR="009832C0" w:rsidRPr="00CD2F5C" w14:paraId="5673CC3E"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7B8E97E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20490</w:t>
            </w:r>
          </w:p>
        </w:tc>
        <w:tc>
          <w:tcPr>
            <w:tcW w:w="3510" w:type="dxa"/>
            <w:tcBorders>
              <w:top w:val="single" w:sz="2" w:space="0" w:color="000000"/>
              <w:left w:val="single" w:sz="2" w:space="0" w:color="000000"/>
              <w:bottom w:val="single" w:sz="2" w:space="0" w:color="000000"/>
              <w:right w:val="single" w:sz="2" w:space="0" w:color="000000"/>
            </w:tcBorders>
            <w:hideMark/>
          </w:tcPr>
          <w:p w14:paraId="2865559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Sexually abused* as a child</w:t>
            </w:r>
          </w:p>
        </w:tc>
        <w:tc>
          <w:tcPr>
            <w:tcW w:w="2250" w:type="dxa"/>
            <w:tcBorders>
              <w:top w:val="single" w:sz="2" w:space="0" w:color="000000"/>
              <w:left w:val="single" w:sz="2" w:space="0" w:color="000000"/>
              <w:bottom w:val="single" w:sz="2" w:space="0" w:color="000000"/>
              <w:right w:val="single" w:sz="2" w:space="0" w:color="000000"/>
            </w:tcBorders>
            <w:hideMark/>
          </w:tcPr>
          <w:p w14:paraId="5290C32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ACE/Traumatic events</w:t>
            </w:r>
          </w:p>
        </w:tc>
        <w:tc>
          <w:tcPr>
            <w:tcW w:w="2363" w:type="dxa"/>
            <w:tcBorders>
              <w:top w:val="single" w:sz="2" w:space="0" w:color="000000"/>
              <w:left w:val="single" w:sz="2" w:space="0" w:color="000000"/>
              <w:bottom w:val="single" w:sz="2" w:space="0" w:color="000000"/>
              <w:right w:val="single" w:sz="2" w:space="0" w:color="000000"/>
            </w:tcBorders>
            <w:hideMark/>
          </w:tcPr>
          <w:p w14:paraId="169B14A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Scale (never–very often)</w:t>
            </w:r>
          </w:p>
        </w:tc>
      </w:tr>
      <w:tr w:rsidR="009832C0" w:rsidRPr="00CD2F5C" w14:paraId="5D7D5991"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336F393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20491</w:t>
            </w:r>
          </w:p>
        </w:tc>
        <w:tc>
          <w:tcPr>
            <w:tcW w:w="3510" w:type="dxa"/>
            <w:tcBorders>
              <w:top w:val="single" w:sz="2" w:space="0" w:color="000000"/>
              <w:left w:val="single" w:sz="2" w:space="0" w:color="000000"/>
              <w:bottom w:val="single" w:sz="2" w:space="0" w:color="000000"/>
              <w:right w:val="single" w:sz="2" w:space="0" w:color="000000"/>
            </w:tcBorders>
            <w:hideMark/>
          </w:tcPr>
          <w:p w14:paraId="4CF3EDB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Someone to take to doctor when needed as a child</w:t>
            </w:r>
          </w:p>
        </w:tc>
        <w:tc>
          <w:tcPr>
            <w:tcW w:w="2250" w:type="dxa"/>
            <w:tcBorders>
              <w:top w:val="single" w:sz="2" w:space="0" w:color="000000"/>
              <w:left w:val="single" w:sz="2" w:space="0" w:color="000000"/>
              <w:bottom w:val="single" w:sz="2" w:space="0" w:color="000000"/>
              <w:right w:val="single" w:sz="2" w:space="0" w:color="000000"/>
            </w:tcBorders>
            <w:hideMark/>
          </w:tcPr>
          <w:p w14:paraId="44F4734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ACE/Traumatic events</w:t>
            </w:r>
          </w:p>
        </w:tc>
        <w:tc>
          <w:tcPr>
            <w:tcW w:w="2363" w:type="dxa"/>
            <w:tcBorders>
              <w:top w:val="single" w:sz="2" w:space="0" w:color="000000"/>
              <w:left w:val="single" w:sz="2" w:space="0" w:color="000000"/>
              <w:bottom w:val="single" w:sz="2" w:space="0" w:color="000000"/>
              <w:right w:val="single" w:sz="2" w:space="0" w:color="000000"/>
            </w:tcBorders>
            <w:hideMark/>
          </w:tcPr>
          <w:p w14:paraId="70F7622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Scale (never–very often)</w:t>
            </w:r>
          </w:p>
        </w:tc>
      </w:tr>
      <w:tr w:rsidR="009832C0" w:rsidRPr="00CD2F5C" w14:paraId="49D8F8CB"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2CE202F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20428</w:t>
            </w:r>
          </w:p>
        </w:tc>
        <w:tc>
          <w:tcPr>
            <w:tcW w:w="3510" w:type="dxa"/>
            <w:tcBorders>
              <w:top w:val="single" w:sz="2" w:space="0" w:color="000000"/>
              <w:left w:val="single" w:sz="2" w:space="0" w:color="000000"/>
              <w:bottom w:val="single" w:sz="2" w:space="0" w:color="000000"/>
              <w:right w:val="single" w:sz="2" w:space="0" w:color="000000"/>
            </w:tcBorders>
            <w:hideMark/>
          </w:tcPr>
          <w:p w14:paraId="759992A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Professional informed about anxiety</w:t>
            </w:r>
          </w:p>
        </w:tc>
        <w:tc>
          <w:tcPr>
            <w:tcW w:w="2250" w:type="dxa"/>
            <w:tcBorders>
              <w:top w:val="single" w:sz="2" w:space="0" w:color="000000"/>
              <w:left w:val="single" w:sz="2" w:space="0" w:color="000000"/>
              <w:bottom w:val="single" w:sz="2" w:space="0" w:color="000000"/>
              <w:right w:val="single" w:sz="2" w:space="0" w:color="000000"/>
            </w:tcBorders>
            <w:hideMark/>
          </w:tcPr>
          <w:p w14:paraId="1F9BFC5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Anxiety</w:t>
            </w:r>
          </w:p>
        </w:tc>
        <w:tc>
          <w:tcPr>
            <w:tcW w:w="2363" w:type="dxa"/>
            <w:tcBorders>
              <w:top w:val="single" w:sz="2" w:space="0" w:color="000000"/>
              <w:left w:val="single" w:sz="2" w:space="0" w:color="000000"/>
              <w:bottom w:val="single" w:sz="2" w:space="0" w:color="000000"/>
              <w:right w:val="single" w:sz="2" w:space="0" w:color="000000"/>
            </w:tcBorders>
            <w:hideMark/>
          </w:tcPr>
          <w:p w14:paraId="3E2C703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65C00BEC"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23CD5A4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20417</w:t>
            </w:r>
          </w:p>
        </w:tc>
        <w:tc>
          <w:tcPr>
            <w:tcW w:w="3510" w:type="dxa"/>
            <w:tcBorders>
              <w:top w:val="single" w:sz="2" w:space="0" w:color="000000"/>
              <w:left w:val="single" w:sz="2" w:space="0" w:color="000000"/>
              <w:bottom w:val="single" w:sz="2" w:space="0" w:color="000000"/>
              <w:right w:val="single" w:sz="2" w:space="0" w:color="000000"/>
            </w:tcBorders>
            <w:hideMark/>
          </w:tcPr>
          <w:p w14:paraId="180D9AD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Tense, sore, or aching muscles during worst period of anxiety</w:t>
            </w:r>
          </w:p>
        </w:tc>
        <w:tc>
          <w:tcPr>
            <w:tcW w:w="2250" w:type="dxa"/>
            <w:tcBorders>
              <w:top w:val="single" w:sz="2" w:space="0" w:color="000000"/>
              <w:left w:val="single" w:sz="2" w:space="0" w:color="000000"/>
              <w:bottom w:val="single" w:sz="2" w:space="0" w:color="000000"/>
              <w:right w:val="single" w:sz="2" w:space="0" w:color="000000"/>
            </w:tcBorders>
            <w:hideMark/>
          </w:tcPr>
          <w:p w14:paraId="5CFA927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Anxiety</w:t>
            </w:r>
          </w:p>
        </w:tc>
        <w:tc>
          <w:tcPr>
            <w:tcW w:w="2363" w:type="dxa"/>
            <w:tcBorders>
              <w:top w:val="single" w:sz="2" w:space="0" w:color="000000"/>
              <w:left w:val="single" w:sz="2" w:space="0" w:color="000000"/>
              <w:bottom w:val="single" w:sz="2" w:space="0" w:color="000000"/>
              <w:right w:val="single" w:sz="2" w:space="0" w:color="000000"/>
            </w:tcBorders>
            <w:hideMark/>
          </w:tcPr>
          <w:p w14:paraId="13D1769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0B20F201"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139640F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20515</w:t>
            </w:r>
          </w:p>
        </w:tc>
        <w:tc>
          <w:tcPr>
            <w:tcW w:w="3510" w:type="dxa"/>
            <w:tcBorders>
              <w:top w:val="single" w:sz="2" w:space="0" w:color="000000"/>
              <w:left w:val="single" w:sz="2" w:space="0" w:color="000000"/>
              <w:bottom w:val="single" w:sz="2" w:space="0" w:color="000000"/>
              <w:right w:val="single" w:sz="2" w:space="0" w:color="000000"/>
            </w:tcBorders>
            <w:hideMark/>
          </w:tcPr>
          <w:p w14:paraId="0648051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Recent trouble relaxing</w:t>
            </w:r>
          </w:p>
        </w:tc>
        <w:tc>
          <w:tcPr>
            <w:tcW w:w="2250" w:type="dxa"/>
            <w:tcBorders>
              <w:top w:val="single" w:sz="2" w:space="0" w:color="000000"/>
              <w:left w:val="single" w:sz="2" w:space="0" w:color="000000"/>
              <w:bottom w:val="single" w:sz="2" w:space="0" w:color="000000"/>
              <w:right w:val="single" w:sz="2" w:space="0" w:color="000000"/>
            </w:tcBorders>
            <w:hideMark/>
          </w:tcPr>
          <w:p w14:paraId="13F86C1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Anxiety</w:t>
            </w:r>
          </w:p>
        </w:tc>
        <w:tc>
          <w:tcPr>
            <w:tcW w:w="2363" w:type="dxa"/>
            <w:tcBorders>
              <w:top w:val="single" w:sz="2" w:space="0" w:color="000000"/>
              <w:left w:val="single" w:sz="2" w:space="0" w:color="000000"/>
              <w:bottom w:val="single" w:sz="2" w:space="0" w:color="000000"/>
              <w:right w:val="single" w:sz="2" w:space="0" w:color="000000"/>
            </w:tcBorders>
            <w:hideMark/>
          </w:tcPr>
          <w:p w14:paraId="3C57B0A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Scale (not at all–nearly every day)</w:t>
            </w:r>
          </w:p>
        </w:tc>
      </w:tr>
      <w:tr w:rsidR="009832C0" w:rsidRPr="00CD2F5C" w14:paraId="68CA2867"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09F0C318"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1003</w:t>
            </w:r>
          </w:p>
        </w:tc>
        <w:tc>
          <w:tcPr>
            <w:tcW w:w="3510" w:type="dxa"/>
            <w:tcBorders>
              <w:top w:val="single" w:sz="2" w:space="0" w:color="000000"/>
              <w:left w:val="single" w:sz="2" w:space="0" w:color="000000"/>
              <w:bottom w:val="single" w:sz="2" w:space="0" w:color="000000"/>
              <w:right w:val="single" w:sz="2" w:space="0" w:color="000000"/>
            </w:tcBorders>
            <w:hideMark/>
          </w:tcPr>
          <w:p w14:paraId="74792211"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Self-reported medical conditions (via touchscreen)</w:t>
            </w:r>
          </w:p>
        </w:tc>
        <w:tc>
          <w:tcPr>
            <w:tcW w:w="2250" w:type="dxa"/>
            <w:tcBorders>
              <w:top w:val="single" w:sz="2" w:space="0" w:color="000000"/>
              <w:left w:val="single" w:sz="2" w:space="0" w:color="000000"/>
              <w:bottom w:val="single" w:sz="2" w:space="0" w:color="000000"/>
              <w:right w:val="single" w:sz="2" w:space="0" w:color="000000"/>
            </w:tcBorders>
          </w:tcPr>
          <w:p w14:paraId="661CE8C6" w14:textId="77777777" w:rsidR="009832C0" w:rsidRPr="00CD2F5C" w:rsidRDefault="009832C0" w:rsidP="002B0F75">
            <w:pPr>
              <w:spacing w:line="360" w:lineRule="auto"/>
              <w:rPr>
                <w:rFonts w:ascii="Cambria" w:hAnsi="Cambria"/>
                <w:sz w:val="24"/>
                <w:szCs w:val="24"/>
              </w:rPr>
            </w:pPr>
          </w:p>
        </w:tc>
        <w:tc>
          <w:tcPr>
            <w:tcW w:w="2363" w:type="dxa"/>
            <w:tcBorders>
              <w:top w:val="single" w:sz="2" w:space="0" w:color="000000"/>
              <w:left w:val="single" w:sz="2" w:space="0" w:color="000000"/>
              <w:bottom w:val="single" w:sz="2" w:space="0" w:color="000000"/>
              <w:right w:val="single" w:sz="2" w:space="0" w:color="000000"/>
            </w:tcBorders>
          </w:tcPr>
          <w:p w14:paraId="7E1AE4D8" w14:textId="77777777" w:rsidR="009832C0" w:rsidRPr="00CD2F5C" w:rsidRDefault="009832C0" w:rsidP="002B0F75">
            <w:pPr>
              <w:spacing w:line="360" w:lineRule="auto"/>
              <w:rPr>
                <w:rFonts w:ascii="Cambria" w:hAnsi="Cambria"/>
                <w:sz w:val="24"/>
                <w:szCs w:val="24"/>
              </w:rPr>
            </w:pPr>
          </w:p>
        </w:tc>
      </w:tr>
      <w:tr w:rsidR="009832C0" w:rsidRPr="00CD2F5C" w14:paraId="49330ECB"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2E7CF40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3571</w:t>
            </w:r>
          </w:p>
        </w:tc>
        <w:tc>
          <w:tcPr>
            <w:tcW w:w="3510" w:type="dxa"/>
            <w:tcBorders>
              <w:top w:val="single" w:sz="2" w:space="0" w:color="000000"/>
              <w:left w:val="single" w:sz="2" w:space="0" w:color="000000"/>
              <w:bottom w:val="single" w:sz="2" w:space="0" w:color="000000"/>
              <w:right w:val="single" w:sz="2" w:space="0" w:color="000000"/>
            </w:tcBorders>
            <w:hideMark/>
          </w:tcPr>
          <w:p w14:paraId="0AAA66A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Back pain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463080F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4DD03FF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1D084E92"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46CB6BB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4067</w:t>
            </w:r>
          </w:p>
        </w:tc>
        <w:tc>
          <w:tcPr>
            <w:tcW w:w="3510" w:type="dxa"/>
            <w:tcBorders>
              <w:top w:val="single" w:sz="2" w:space="0" w:color="000000"/>
              <w:left w:val="single" w:sz="2" w:space="0" w:color="000000"/>
              <w:bottom w:val="single" w:sz="2" w:space="0" w:color="000000"/>
              <w:right w:val="single" w:sz="2" w:space="0" w:color="000000"/>
            </w:tcBorders>
            <w:hideMark/>
          </w:tcPr>
          <w:p w14:paraId="04EF5F5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Facial pains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6E2A222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616C911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69BC1A09"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62BAF7A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2956</w:t>
            </w:r>
          </w:p>
        </w:tc>
        <w:tc>
          <w:tcPr>
            <w:tcW w:w="3510" w:type="dxa"/>
            <w:tcBorders>
              <w:top w:val="single" w:sz="2" w:space="0" w:color="000000"/>
              <w:left w:val="single" w:sz="2" w:space="0" w:color="000000"/>
              <w:bottom w:val="single" w:sz="2" w:space="0" w:color="000000"/>
              <w:right w:val="single" w:sz="2" w:space="0" w:color="000000"/>
            </w:tcBorders>
            <w:hideMark/>
          </w:tcPr>
          <w:p w14:paraId="39BAA4F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General pain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4858856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0701C3A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3C8DFE54"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703FBDD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3799</w:t>
            </w:r>
          </w:p>
        </w:tc>
        <w:tc>
          <w:tcPr>
            <w:tcW w:w="3510" w:type="dxa"/>
            <w:tcBorders>
              <w:top w:val="single" w:sz="2" w:space="0" w:color="000000"/>
              <w:left w:val="single" w:sz="2" w:space="0" w:color="000000"/>
              <w:bottom w:val="single" w:sz="2" w:space="0" w:color="000000"/>
              <w:right w:val="single" w:sz="2" w:space="0" w:color="000000"/>
            </w:tcBorders>
            <w:hideMark/>
          </w:tcPr>
          <w:p w14:paraId="58628A2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Headaches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575B5BC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66DCB80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29C4284F"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2E629F0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3414</w:t>
            </w:r>
          </w:p>
        </w:tc>
        <w:tc>
          <w:tcPr>
            <w:tcW w:w="3510" w:type="dxa"/>
            <w:tcBorders>
              <w:top w:val="single" w:sz="2" w:space="0" w:color="000000"/>
              <w:left w:val="single" w:sz="2" w:space="0" w:color="000000"/>
              <w:bottom w:val="single" w:sz="2" w:space="0" w:color="000000"/>
              <w:right w:val="single" w:sz="2" w:space="0" w:color="000000"/>
            </w:tcBorders>
            <w:hideMark/>
          </w:tcPr>
          <w:p w14:paraId="187C9AF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Hip pain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7F51455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6BDD745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0CC21989"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654B334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3773</w:t>
            </w:r>
          </w:p>
        </w:tc>
        <w:tc>
          <w:tcPr>
            <w:tcW w:w="3510" w:type="dxa"/>
            <w:tcBorders>
              <w:top w:val="single" w:sz="2" w:space="0" w:color="000000"/>
              <w:left w:val="single" w:sz="2" w:space="0" w:color="000000"/>
              <w:bottom w:val="single" w:sz="2" w:space="0" w:color="000000"/>
              <w:right w:val="single" w:sz="2" w:space="0" w:color="000000"/>
            </w:tcBorders>
            <w:hideMark/>
          </w:tcPr>
          <w:p w14:paraId="10FBA0D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Knee pain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2056DEE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3FB1381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0EBEF6C9"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0D5A595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3404</w:t>
            </w:r>
          </w:p>
        </w:tc>
        <w:tc>
          <w:tcPr>
            <w:tcW w:w="3510" w:type="dxa"/>
            <w:tcBorders>
              <w:top w:val="single" w:sz="2" w:space="0" w:color="000000"/>
              <w:left w:val="single" w:sz="2" w:space="0" w:color="000000"/>
              <w:bottom w:val="single" w:sz="2" w:space="0" w:color="000000"/>
              <w:right w:val="single" w:sz="2" w:space="0" w:color="000000"/>
            </w:tcBorders>
            <w:hideMark/>
          </w:tcPr>
          <w:p w14:paraId="5E2122E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Neck/shoulder pain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38451E1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4EA0ED5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6EB870D5"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4F0E230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3741</w:t>
            </w:r>
          </w:p>
        </w:tc>
        <w:tc>
          <w:tcPr>
            <w:tcW w:w="3510" w:type="dxa"/>
            <w:tcBorders>
              <w:top w:val="single" w:sz="2" w:space="0" w:color="000000"/>
              <w:left w:val="single" w:sz="2" w:space="0" w:color="000000"/>
              <w:bottom w:val="single" w:sz="2" w:space="0" w:color="000000"/>
              <w:right w:val="single" w:sz="2" w:space="0" w:color="000000"/>
            </w:tcBorders>
            <w:hideMark/>
          </w:tcPr>
          <w:p w14:paraId="6C61E11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Stomach/abdominal pain for 3 + months</w:t>
            </w:r>
          </w:p>
        </w:tc>
        <w:tc>
          <w:tcPr>
            <w:tcW w:w="2250" w:type="dxa"/>
            <w:tcBorders>
              <w:top w:val="single" w:sz="2" w:space="0" w:color="000000"/>
              <w:left w:val="single" w:sz="2" w:space="0" w:color="000000"/>
              <w:bottom w:val="single" w:sz="2" w:space="0" w:color="000000"/>
              <w:right w:val="single" w:sz="2" w:space="0" w:color="000000"/>
            </w:tcBorders>
            <w:hideMark/>
          </w:tcPr>
          <w:p w14:paraId="0204EF4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w:t>
            </w:r>
          </w:p>
        </w:tc>
        <w:tc>
          <w:tcPr>
            <w:tcW w:w="2363" w:type="dxa"/>
            <w:tcBorders>
              <w:top w:val="single" w:sz="2" w:space="0" w:color="000000"/>
              <w:left w:val="single" w:sz="2" w:space="0" w:color="000000"/>
              <w:bottom w:val="single" w:sz="2" w:space="0" w:color="000000"/>
              <w:right w:val="single" w:sz="2" w:space="0" w:color="000000"/>
            </w:tcBorders>
            <w:hideMark/>
          </w:tcPr>
          <w:p w14:paraId="125C01A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Yes/no</w:t>
            </w:r>
          </w:p>
        </w:tc>
      </w:tr>
      <w:tr w:rsidR="009832C0" w:rsidRPr="00CD2F5C" w14:paraId="2E904BF5"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34CD9450"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717</w:t>
            </w:r>
          </w:p>
        </w:tc>
        <w:tc>
          <w:tcPr>
            <w:tcW w:w="3510" w:type="dxa"/>
            <w:tcBorders>
              <w:top w:val="single" w:sz="2" w:space="0" w:color="000000"/>
              <w:left w:val="single" w:sz="2" w:space="0" w:color="000000"/>
              <w:bottom w:val="single" w:sz="2" w:space="0" w:color="000000"/>
              <w:right w:val="single" w:sz="2" w:space="0" w:color="000000"/>
            </w:tcBorders>
            <w:hideMark/>
          </w:tcPr>
          <w:p w14:paraId="4DBFA17F"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Biomarkers</w:t>
            </w:r>
          </w:p>
        </w:tc>
        <w:tc>
          <w:tcPr>
            <w:tcW w:w="2250" w:type="dxa"/>
            <w:tcBorders>
              <w:top w:val="single" w:sz="2" w:space="0" w:color="000000"/>
              <w:left w:val="single" w:sz="2" w:space="0" w:color="000000"/>
              <w:bottom w:val="single" w:sz="2" w:space="0" w:color="000000"/>
              <w:right w:val="single" w:sz="2" w:space="0" w:color="000000"/>
            </w:tcBorders>
          </w:tcPr>
          <w:p w14:paraId="4BA35635" w14:textId="77777777" w:rsidR="009832C0" w:rsidRPr="00CD2F5C" w:rsidRDefault="009832C0" w:rsidP="002B0F75">
            <w:pPr>
              <w:spacing w:line="360" w:lineRule="auto"/>
              <w:rPr>
                <w:rFonts w:ascii="Cambria" w:hAnsi="Cambria"/>
                <w:sz w:val="24"/>
                <w:szCs w:val="24"/>
              </w:rPr>
            </w:pPr>
          </w:p>
        </w:tc>
        <w:tc>
          <w:tcPr>
            <w:tcW w:w="2363" w:type="dxa"/>
            <w:tcBorders>
              <w:top w:val="single" w:sz="2" w:space="0" w:color="000000"/>
              <w:left w:val="single" w:sz="2" w:space="0" w:color="000000"/>
              <w:bottom w:val="single" w:sz="2" w:space="0" w:color="000000"/>
              <w:right w:val="single" w:sz="2" w:space="0" w:color="000000"/>
            </w:tcBorders>
          </w:tcPr>
          <w:p w14:paraId="542F1D9F" w14:textId="77777777" w:rsidR="009832C0" w:rsidRPr="00CD2F5C" w:rsidRDefault="009832C0" w:rsidP="002B0F75">
            <w:pPr>
              <w:spacing w:line="360" w:lineRule="auto"/>
              <w:rPr>
                <w:rFonts w:ascii="Cambria" w:hAnsi="Cambria"/>
                <w:sz w:val="24"/>
                <w:szCs w:val="24"/>
              </w:rPr>
            </w:pPr>
          </w:p>
        </w:tc>
      </w:tr>
      <w:tr w:rsidR="009832C0" w:rsidRPr="00CD2F5C" w14:paraId="0E08E9B2" w14:textId="77777777" w:rsidTr="006417A0">
        <w:trPr>
          <w:trHeight w:val="234"/>
        </w:trPr>
        <w:tc>
          <w:tcPr>
            <w:tcW w:w="1080" w:type="dxa"/>
            <w:tcBorders>
              <w:top w:val="single" w:sz="2" w:space="0" w:color="000000"/>
              <w:left w:val="single" w:sz="2" w:space="0" w:color="000000"/>
              <w:bottom w:val="single" w:sz="2" w:space="0" w:color="000000"/>
              <w:right w:val="single" w:sz="2" w:space="0" w:color="000000"/>
            </w:tcBorders>
            <w:hideMark/>
          </w:tcPr>
          <w:p w14:paraId="70BEBEC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30710</w:t>
            </w:r>
          </w:p>
        </w:tc>
        <w:tc>
          <w:tcPr>
            <w:tcW w:w="3510" w:type="dxa"/>
            <w:tcBorders>
              <w:top w:val="single" w:sz="2" w:space="0" w:color="000000"/>
              <w:left w:val="single" w:sz="2" w:space="0" w:color="000000"/>
              <w:bottom w:val="single" w:sz="2" w:space="0" w:color="000000"/>
              <w:right w:val="single" w:sz="2" w:space="0" w:color="000000"/>
            </w:tcBorders>
            <w:hideMark/>
          </w:tcPr>
          <w:p w14:paraId="60A900A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C-reactive protein</w:t>
            </w:r>
          </w:p>
        </w:tc>
        <w:tc>
          <w:tcPr>
            <w:tcW w:w="2250" w:type="dxa"/>
            <w:tcBorders>
              <w:top w:val="single" w:sz="2" w:space="0" w:color="000000"/>
              <w:left w:val="single" w:sz="2" w:space="0" w:color="000000"/>
              <w:bottom w:val="single" w:sz="2" w:space="0" w:color="000000"/>
              <w:right w:val="single" w:sz="2" w:space="0" w:color="000000"/>
            </w:tcBorders>
            <w:hideMark/>
          </w:tcPr>
          <w:p w14:paraId="4E89E68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Blood biochemistry</w:t>
            </w:r>
          </w:p>
        </w:tc>
        <w:tc>
          <w:tcPr>
            <w:tcW w:w="2363" w:type="dxa"/>
            <w:tcBorders>
              <w:top w:val="single" w:sz="2" w:space="0" w:color="000000"/>
              <w:left w:val="single" w:sz="2" w:space="0" w:color="000000"/>
              <w:bottom w:val="single" w:sz="2" w:space="0" w:color="000000"/>
              <w:right w:val="single" w:sz="2" w:space="0" w:color="000000"/>
            </w:tcBorders>
            <w:hideMark/>
          </w:tcPr>
          <w:p w14:paraId="1B5E5C5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Instances 0–1 (mg/L)</w:t>
            </w:r>
          </w:p>
        </w:tc>
      </w:tr>
    </w:tbl>
    <w:p w14:paraId="06FA09B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category of childhood “traumatic events” as defined by the UKB was our marker of ACEs or early life adversity. Sexual abuse was written as molestation in the questionnaire, but we have updated abuse throughout this manuscript for consistency.</w:t>
      </w:r>
    </w:p>
    <w:p w14:paraId="41535FD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independent variables were anxiety and history of childhood adversity, and the dependent variables were eight different pain measures (as listed in Table 1).</w:t>
      </w:r>
    </w:p>
    <w:p w14:paraId="3691657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ACEs: Childhood adversity was operationalized by means of the five separate variables shown in Table 1 and scored as negative or positive (the third [item 20489] and fifth [item 20491] were reverse scored so that a higher score reflected more childhood adversity). Negative included reports of “felt hated”, “physically abused”, and/or “sexually abused” in childhood. Positive included “felt loved” and/or “taken to a doctor if needed”. NA reports were omitted.</w:t>
      </w:r>
    </w:p>
    <w:p w14:paraId="02EE91AD" w14:textId="730B545D"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Anxiety: Anxiety was operationalized as the three separate anxiety items (Table 1) scored as Yes/No for two of the items (i.e., items 20428, 20417) and by the reported frequency of the third (item 20515). In addition to yes and no responses, recoding was conducted to accommodate the N/A cases as “no”. This was because the first two items had ‘prefer not to answer’ and ‘do not know’ response options so we were confident handling missing or no response as reflecting some level of the respondent not agreeing with any of the options or simply that they were unwilling to identify themselves as having anxiety. This was felt to be the most conservative way to deal with missing data where we were unable to infer why a participant might choose not to answer a question. As per the UK Biobank’s study protocol (p18 and p69; available at </w:t>
      </w:r>
      <w:hyperlink r:id="rId59" w:history="1">
        <w:r w:rsidRPr="00CD2F5C">
          <w:rPr>
            <w:rStyle w:val="Hyperlink"/>
            <w:rFonts w:ascii="Cambria" w:hAnsi="Cambria"/>
            <w:sz w:val="24"/>
            <w:szCs w:val="24"/>
          </w:rPr>
          <w:t xml:space="preserve">https:// www. </w:t>
        </w:r>
        <w:proofErr w:type="spellStart"/>
        <w:r w:rsidRPr="00CD2F5C">
          <w:rPr>
            <w:rStyle w:val="Hyperlink"/>
            <w:rFonts w:ascii="Cambria" w:hAnsi="Cambria"/>
            <w:sz w:val="24"/>
            <w:szCs w:val="24"/>
          </w:rPr>
          <w:t>ukbio</w:t>
        </w:r>
        <w:proofErr w:type="spellEnd"/>
        <w:r w:rsidRPr="00CD2F5C">
          <w:rPr>
            <w:rStyle w:val="Hyperlink"/>
            <w:rFonts w:ascii="Cambria" w:hAnsi="Cambria"/>
            <w:sz w:val="24"/>
            <w:szCs w:val="24"/>
          </w:rPr>
          <w:t xml:space="preserve"> bank. ac. </w:t>
        </w:r>
        <w:proofErr w:type="spellStart"/>
        <w:r w:rsidRPr="00CD2F5C">
          <w:rPr>
            <w:rStyle w:val="Hyperlink"/>
            <w:rFonts w:ascii="Cambria" w:hAnsi="Cambria"/>
            <w:sz w:val="24"/>
            <w:szCs w:val="24"/>
          </w:rPr>
          <w:t>uk</w:t>
        </w:r>
        <w:proofErr w:type="spellEnd"/>
        <w:r w:rsidRPr="00CD2F5C">
          <w:rPr>
            <w:rStyle w:val="Hyperlink"/>
            <w:rFonts w:ascii="Cambria" w:hAnsi="Cambria"/>
            <w:sz w:val="24"/>
            <w:szCs w:val="24"/>
          </w:rPr>
          <w:t xml:space="preserve">/ media/ </w:t>
        </w:r>
        <w:proofErr w:type="spellStart"/>
        <w:r w:rsidRPr="00CD2F5C">
          <w:rPr>
            <w:rStyle w:val="Hyperlink"/>
            <w:rFonts w:ascii="Cambria" w:hAnsi="Cambria"/>
            <w:sz w:val="24"/>
            <w:szCs w:val="24"/>
          </w:rPr>
          <w:t>gnkey</w:t>
        </w:r>
        <w:proofErr w:type="spellEnd"/>
      </w:hyperlink>
      <w:r w:rsidRPr="00CD2F5C">
        <w:rPr>
          <w:rFonts w:ascii="Cambria" w:hAnsi="Cambria"/>
          <w:sz w:val="24"/>
          <w:szCs w:val="24"/>
        </w:rPr>
        <w:t xml:space="preserve"> </w:t>
      </w:r>
      <w:hyperlink r:id="rId60" w:history="1">
        <w:r w:rsidRPr="00CD2F5C">
          <w:rPr>
            <w:rStyle w:val="Hyperlink"/>
            <w:rFonts w:ascii="Cambria" w:hAnsi="Cambria"/>
            <w:sz w:val="24"/>
            <w:szCs w:val="24"/>
          </w:rPr>
          <w:t xml:space="preserve">h2q/ study- ratio </w:t>
        </w:r>
        <w:proofErr w:type="spellStart"/>
        <w:r w:rsidRPr="00CD2F5C">
          <w:rPr>
            <w:rStyle w:val="Hyperlink"/>
            <w:rFonts w:ascii="Cambria" w:hAnsi="Cambria"/>
            <w:sz w:val="24"/>
            <w:szCs w:val="24"/>
          </w:rPr>
          <w:t>nale</w:t>
        </w:r>
        <w:proofErr w:type="spellEnd"/>
        <w:r w:rsidRPr="00CD2F5C">
          <w:rPr>
            <w:rStyle w:val="Hyperlink"/>
            <w:rFonts w:ascii="Cambria" w:hAnsi="Cambria"/>
            <w:sz w:val="24"/>
            <w:szCs w:val="24"/>
          </w:rPr>
          <w:t>. pdf</w:t>
        </w:r>
      </w:hyperlink>
      <w:r w:rsidRPr="00CD2F5C">
        <w:rPr>
          <w:rFonts w:ascii="Cambria" w:hAnsi="Cambria"/>
          <w:sz w:val="24"/>
          <w:szCs w:val="24"/>
        </w:rPr>
        <w:t xml:space="preserve">), it is also worth noting participants had the option to skip questions whether due to sensitivity or otherwise, and for privacy reasons this was deemed </w:t>
      </w:r>
      <w:r w:rsidRPr="00CD2F5C">
        <w:rPr>
          <w:rFonts w:ascii="Cambria" w:hAnsi="Cambria"/>
          <w:sz w:val="24"/>
          <w:szCs w:val="24"/>
        </w:rPr>
        <w:lastRenderedPageBreak/>
        <w:t>acceptable. Additionally, other recent studies have handled this similarly, such as Ramirez et al. (2022) in that they handled skipped UK Biobank questions by omitting them, and changing prefer not to answer to N/A since the true reason cannot be inferred retrospectively for participants</w:t>
      </w:r>
      <w:r w:rsidR="002311F6">
        <w:rPr>
          <w:rFonts w:ascii="Cambria" w:hAnsi="Cambria"/>
          <w:sz w:val="24"/>
          <w:szCs w:val="24"/>
        </w:rPr>
        <w:t xml:space="preserve"> (R Core Team</w:t>
      </w:r>
      <w:r w:rsidR="002311F6" w:rsidRPr="00F67B5B">
        <w:rPr>
          <w:rFonts w:ascii="Cambria" w:hAnsi="Cambria"/>
          <w:sz w:val="24"/>
          <w:szCs w:val="24"/>
        </w:rPr>
        <w:t xml:space="preserve"> </w:t>
      </w:r>
      <w:r w:rsidR="002311F6">
        <w:rPr>
          <w:rFonts w:ascii="Cambria" w:hAnsi="Cambria"/>
          <w:sz w:val="24"/>
          <w:szCs w:val="24"/>
        </w:rPr>
        <w:t>2022)</w:t>
      </w:r>
      <w:r w:rsidR="002311F6" w:rsidRPr="00CD2F5C">
        <w:rPr>
          <w:rFonts w:ascii="Cambria" w:hAnsi="Cambria"/>
          <w:sz w:val="24"/>
          <w:szCs w:val="24"/>
        </w:rPr>
        <w:t>.</w:t>
      </w:r>
      <w:r w:rsidR="002311F6">
        <w:rPr>
          <w:rFonts w:ascii="Cambria" w:hAnsi="Cambria"/>
          <w:sz w:val="24"/>
          <w:szCs w:val="24"/>
        </w:rPr>
        <w:t xml:space="preserve"> </w:t>
      </w:r>
      <w:r w:rsidRPr="00CD2F5C">
        <w:rPr>
          <w:rFonts w:ascii="Cambria" w:hAnsi="Cambria"/>
          <w:sz w:val="24"/>
          <w:szCs w:val="24"/>
        </w:rPr>
        <w:t>For variables such as smoking, participants who skipped the questions were fully excluded.</w:t>
      </w:r>
    </w:p>
    <w:p w14:paraId="15574E9A" w14:textId="3A9A5FF7" w:rsidR="009832C0" w:rsidRPr="00CD2F5C" w:rsidRDefault="009832C0" w:rsidP="002B0F75">
      <w:pPr>
        <w:spacing w:line="360" w:lineRule="auto"/>
        <w:rPr>
          <w:rFonts w:ascii="Cambria" w:hAnsi="Cambria"/>
          <w:sz w:val="24"/>
          <w:szCs w:val="24"/>
        </w:rPr>
      </w:pPr>
      <w:r w:rsidRPr="00CD2F5C">
        <w:rPr>
          <w:rFonts w:ascii="Cambria" w:hAnsi="Cambria"/>
          <w:sz w:val="24"/>
          <w:szCs w:val="24"/>
        </w:rPr>
        <w:t>Chronic pain: For pain, coding required at least one measure of chronic pain reported (Yes/No), and if available, the number of times pain was reported over the data collection period of the UKB (at the time of this analysis) was captured. As shown in Table 1, for all pain measures included in this analysis, duration was required to be at least 3 months to differentiate the pain as chronic versus acute. This set of reporting was defined as “Reports of pain”, which is a numeric variable counting and summing all the chronic pain reported (in any category from Table 1) across the average 7 years of follow-up currently available in UKB (representing a baseline Assessment Centre visit between 2006–2010, and follow-up visits 2012–2013, 2014 +, and/or 2019 +). This score represented all types of pain reported at each visit (from Table 1) across all years which were counted and aggregated into a single variable (most frequently ranging from 0–7). Pain data were collected at the Assessment Centre using a touchscreen self-report system for each visit.</w:t>
      </w:r>
    </w:p>
    <w:p w14:paraId="516F18A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C-reactive protein: CRP (item 30710) was measured by immunoturbidimetric-high sensitivity analysis on a Beckman Coulter AU5800 and captured over two assessments: the initial assessment between 2006 and 2010 (468,441 participants) and the first repeat assessment between 2012 and 2013 (17,835 participants). The UKB used CRP as a defined variable, meaning more than one instance may be present, and each instance represented a fixed identifiable set of results across all participants. For CRP, the defined-instances (visits) ran from 0 (baseline visit) to 1 (first follow-up visit) and were labelled using instancing 2 (the sum of 0–1 captured in mg/L). This data is considered ‘accruing’ and may have a comparable level at a later timepoint; to date we have instance 2 (the summary of visit 0 and 1). The UKB does note the presence of a dilution problem that was observed to increase with aliquot number for certain serum samples; however, as CRP has a high biological coefficient of variation, it was unaffected and did not require an estimation correction or adjustment. With the secondary analyses, the addition of CRP was captured </w:t>
      </w:r>
      <w:r w:rsidRPr="00CD2F5C">
        <w:rPr>
          <w:rFonts w:ascii="Cambria" w:hAnsi="Cambria"/>
          <w:sz w:val="24"/>
          <w:szCs w:val="24"/>
        </w:rPr>
        <w:lastRenderedPageBreak/>
        <w:t>by recorded visits and the CRP average (mg/L). N/A cases were omitted, and the mean and variance were calculated.</w:t>
      </w:r>
    </w:p>
    <w:p w14:paraId="2E10A930"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Analyses</w:t>
      </w:r>
    </w:p>
    <w:p w14:paraId="503761F7" w14:textId="4F72CD43" w:rsidR="009832C0" w:rsidRPr="00CD2F5C" w:rsidRDefault="009832C0" w:rsidP="002B0F75">
      <w:pPr>
        <w:spacing w:line="360" w:lineRule="auto"/>
        <w:rPr>
          <w:rFonts w:ascii="Cambria" w:hAnsi="Cambria"/>
          <w:sz w:val="24"/>
          <w:szCs w:val="24"/>
        </w:rPr>
      </w:pPr>
      <w:r w:rsidRPr="00CD2F5C">
        <w:rPr>
          <w:rFonts w:ascii="Cambria" w:hAnsi="Cambria"/>
          <w:sz w:val="24"/>
          <w:szCs w:val="24"/>
        </w:rPr>
        <w:t>Coding for all analyses was conducted using R software</w:t>
      </w:r>
      <w:r w:rsidR="002311F6">
        <w:rPr>
          <w:rFonts w:ascii="Cambria" w:hAnsi="Cambria"/>
          <w:sz w:val="24"/>
          <w:szCs w:val="24"/>
        </w:rPr>
        <w:t xml:space="preserve"> (R Core Team</w:t>
      </w:r>
      <w:r w:rsidR="002311F6" w:rsidRPr="00F67B5B">
        <w:rPr>
          <w:rFonts w:ascii="Cambria" w:hAnsi="Cambria"/>
          <w:sz w:val="24"/>
          <w:szCs w:val="24"/>
        </w:rPr>
        <w:t xml:space="preserve"> </w:t>
      </w:r>
      <w:r w:rsidR="002311F6">
        <w:rPr>
          <w:rFonts w:ascii="Cambria" w:hAnsi="Cambria"/>
          <w:sz w:val="24"/>
          <w:szCs w:val="24"/>
        </w:rPr>
        <w:t>2022)</w:t>
      </w:r>
      <w:r w:rsidR="002311F6" w:rsidRPr="00CD2F5C">
        <w:rPr>
          <w:rFonts w:ascii="Cambria" w:hAnsi="Cambria"/>
          <w:sz w:val="24"/>
          <w:szCs w:val="24"/>
        </w:rPr>
        <w:t>.</w:t>
      </w:r>
      <w:r w:rsidR="002311F6">
        <w:rPr>
          <w:rFonts w:ascii="Cambria" w:hAnsi="Cambria"/>
          <w:sz w:val="24"/>
          <w:szCs w:val="24"/>
        </w:rPr>
        <w:t xml:space="preserve"> </w:t>
      </w:r>
      <w:r w:rsidRPr="00CD2F5C">
        <w:rPr>
          <w:rFonts w:ascii="Cambria" w:hAnsi="Cambria"/>
          <w:sz w:val="24"/>
          <w:szCs w:val="24"/>
        </w:rPr>
        <w:t xml:space="preserve">As the dependent variable for the primary analysis (i.e., chronic pain) was count data, a Poisson regression model was determined to be the most suitable. This model enters all variables (i.e., the five ACE scores and the three anxiety indices) as well as their potential interactions. To answer the research questions, a generalized linear model using Poisson as the family (Poisson regression) was used. For questions with which the person could answer (yes, no, prefer not to answer), all the "yes" answers were coded as such, and any other answer was interpreted as a "no" (this includes non-answers). For the secondary CRP analysis, correlations between all variables of interest and CRP were assessed; Spearman correlations with Holm correction were used. Additionally for the CRP sample, a simplified version of the final model was created and compared against a corresponding adjusted version with socio-demographic/health </w:t>
      </w:r>
      <w:r w:rsidR="0025173D" w:rsidRPr="00CD2F5C">
        <w:rPr>
          <w:rFonts w:ascii="Cambria" w:hAnsi="Cambria"/>
          <w:sz w:val="24"/>
          <w:szCs w:val="24"/>
        </w:rPr>
        <w:t>behaviour</w:t>
      </w:r>
      <w:r w:rsidRPr="00CD2F5C">
        <w:rPr>
          <w:rFonts w:ascii="Cambria" w:hAnsi="Cambria"/>
          <w:sz w:val="24"/>
          <w:szCs w:val="24"/>
        </w:rPr>
        <w:t xml:space="preserve"> variables added in to identify how such factors may be affecting the results via a generalized linear mixed-effects model (GLM; with a Poisson distribution family).</w:t>
      </w:r>
    </w:p>
    <w:p w14:paraId="77B61E2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Further details on the analysis decisions and background can be viewed in Appendix A. Additionally, Appendix B details the preliminary SEM conducted, which helped prioritize the analyses choices for the objectives. Stepwise regression was used to select the best fitting model (i.e., the combination of variables and interactions that better explain the dependent variable Reports of Pain). This puts all variables in and then iteratively remodels fit by backward elimination of non-significant variables (displayed in Table S2 of Appendix B). For missingness, the R </w:t>
      </w:r>
      <w:proofErr w:type="spellStart"/>
      <w:proofErr w:type="gramStart"/>
      <w:r w:rsidRPr="00CD2F5C">
        <w:rPr>
          <w:rFonts w:ascii="Cambria" w:hAnsi="Cambria"/>
          <w:sz w:val="24"/>
          <w:szCs w:val="24"/>
        </w:rPr>
        <w:t>na.omit</w:t>
      </w:r>
      <w:proofErr w:type="spellEnd"/>
      <w:proofErr w:type="gramEnd"/>
      <w:r w:rsidRPr="00CD2F5C">
        <w:rPr>
          <w:rFonts w:ascii="Cambria" w:hAnsi="Cambria"/>
          <w:sz w:val="24"/>
          <w:szCs w:val="24"/>
        </w:rPr>
        <w:t>() function was used to handle missing data as it removes any row that has a missing value in it. For large samples such as the UKB, this is standard practice.</w:t>
      </w:r>
    </w:p>
    <w:p w14:paraId="20B01E81"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Results</w:t>
      </w:r>
    </w:p>
    <w:p w14:paraId="1F8F0E69"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Sample characteristics</w:t>
      </w:r>
    </w:p>
    <w:p w14:paraId="4E2899ED" w14:textId="1D1ACCBE"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The UKB demographics details can be reviewed in Table 2. Of the 9,238,453 men and women initially invited to join the UK Biobank, 503,317 (5.45%) provided informed consent and were recruited between 2006 and 2010. Overall, the participation rate was higher in women (participation rates were 6.4% and 5.1% in women and men, respectively)</w:t>
      </w:r>
      <w:r w:rsidR="00225BEB">
        <w:rPr>
          <w:rFonts w:ascii="Cambria" w:hAnsi="Cambria"/>
          <w:sz w:val="24"/>
          <w:szCs w:val="24"/>
        </w:rPr>
        <w:t xml:space="preserve"> </w:t>
      </w:r>
      <w:r w:rsidR="002311F6">
        <w:rPr>
          <w:rFonts w:ascii="Cambria" w:hAnsi="Cambria"/>
          <w:sz w:val="24"/>
          <w:szCs w:val="24"/>
        </w:rPr>
        <w:t>(Fry et al. 2017).</w:t>
      </w:r>
    </w:p>
    <w:p w14:paraId="06A5F36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Each objective had a different sample size due to exclusion criteria and availability of records. Of the eligible cases, a total of 1077 records were omitted due to having missing responses in at least one of the variables of interest, and an additional 8 cases were omitted due to participants withdrawing from the UKB at the time of analysis.</w:t>
      </w:r>
    </w:p>
    <w:p w14:paraId="2776F216"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Table 2.  </w:t>
      </w:r>
      <w:r w:rsidRPr="00CD2F5C">
        <w:rPr>
          <w:rFonts w:ascii="Cambria" w:hAnsi="Cambria"/>
          <w:sz w:val="24"/>
          <w:szCs w:val="24"/>
        </w:rPr>
        <w:t>Self-reported ethnicity of UK biobank participants (recruited in 2006–2010) with census data for the age group 40–69 years in England, Wales, and Scotland in 2001 and 2011</w:t>
      </w:r>
      <w:r w:rsidRPr="00CD2F5C">
        <w:rPr>
          <w:rFonts w:ascii="Cambria" w:hAnsi="Cambria"/>
          <w:sz w:val="24"/>
          <w:szCs w:val="24"/>
          <w:vertAlign w:val="superscript"/>
        </w:rPr>
        <w:t>a</w:t>
      </w:r>
      <w:r w:rsidRPr="00CD2F5C">
        <w:rPr>
          <w:rFonts w:ascii="Cambria" w:hAnsi="Cambria"/>
          <w:sz w:val="24"/>
          <w:szCs w:val="24"/>
        </w:rPr>
        <w:t>.</w:t>
      </w:r>
    </w:p>
    <w:tbl>
      <w:tblPr>
        <w:tblW w:w="9018" w:type="dxa"/>
        <w:tblCellMar>
          <w:top w:w="8" w:type="dxa"/>
          <w:left w:w="60" w:type="dxa"/>
          <w:bottom w:w="31" w:type="dxa"/>
          <w:right w:w="125" w:type="dxa"/>
        </w:tblCellMar>
        <w:tblLook w:val="04A0" w:firstRow="1" w:lastRow="0" w:firstColumn="1" w:lastColumn="0" w:noHBand="0" w:noVBand="1"/>
      </w:tblPr>
      <w:tblGrid>
        <w:gridCol w:w="1526"/>
        <w:gridCol w:w="1612"/>
        <w:gridCol w:w="633"/>
        <w:gridCol w:w="1716"/>
        <w:gridCol w:w="633"/>
        <w:gridCol w:w="2167"/>
        <w:gridCol w:w="731"/>
      </w:tblGrid>
      <w:tr w:rsidR="009832C0" w:rsidRPr="00CD2F5C" w14:paraId="54C40C9B" w14:textId="77777777" w:rsidTr="006417A0">
        <w:trPr>
          <w:trHeight w:val="531"/>
        </w:trPr>
        <w:tc>
          <w:tcPr>
            <w:tcW w:w="1527" w:type="dxa"/>
            <w:tcBorders>
              <w:top w:val="single" w:sz="2" w:space="0" w:color="000000"/>
              <w:left w:val="single" w:sz="2" w:space="0" w:color="000000"/>
              <w:bottom w:val="single" w:sz="2" w:space="0" w:color="000000"/>
              <w:right w:val="single" w:sz="2" w:space="0" w:color="000000"/>
            </w:tcBorders>
            <w:shd w:val="clear" w:color="auto" w:fill="A7A9AC"/>
            <w:vAlign w:val="bottom"/>
            <w:hideMark/>
          </w:tcPr>
          <w:p w14:paraId="1931F6A8" w14:textId="77777777" w:rsidR="009832C0" w:rsidRPr="00CD2F5C" w:rsidRDefault="009832C0" w:rsidP="002B0F75">
            <w:pPr>
              <w:spacing w:after="0" w:line="360" w:lineRule="auto"/>
              <w:rPr>
                <w:rFonts w:ascii="Cambria" w:hAnsi="Cambria"/>
                <w:sz w:val="24"/>
                <w:szCs w:val="24"/>
              </w:rPr>
            </w:pPr>
            <w:proofErr w:type="spellStart"/>
            <w:r w:rsidRPr="00CD2F5C">
              <w:rPr>
                <w:rFonts w:ascii="Cambria" w:hAnsi="Cambria"/>
                <w:b/>
                <w:sz w:val="24"/>
                <w:szCs w:val="24"/>
              </w:rPr>
              <w:t>Ethnicity</w:t>
            </w:r>
            <w:r w:rsidRPr="00CD2F5C">
              <w:rPr>
                <w:rFonts w:ascii="Cambria" w:hAnsi="Cambria"/>
                <w:b/>
                <w:sz w:val="24"/>
                <w:szCs w:val="24"/>
                <w:vertAlign w:val="superscript"/>
              </w:rPr>
              <w:t>b</w:t>
            </w:r>
            <w:proofErr w:type="spellEnd"/>
          </w:p>
        </w:tc>
        <w:tc>
          <w:tcPr>
            <w:tcW w:w="1620" w:type="dxa"/>
            <w:tcBorders>
              <w:top w:val="single" w:sz="2" w:space="0" w:color="000000"/>
              <w:left w:val="single" w:sz="2" w:space="0" w:color="000000"/>
              <w:bottom w:val="single" w:sz="2" w:space="0" w:color="000000"/>
              <w:right w:val="single" w:sz="2" w:space="0" w:color="000000"/>
            </w:tcBorders>
            <w:shd w:val="clear" w:color="auto" w:fill="A7A9AC"/>
            <w:hideMark/>
          </w:tcPr>
          <w:p w14:paraId="2CD05B81" w14:textId="77777777" w:rsidR="009832C0" w:rsidRPr="00CD2F5C" w:rsidRDefault="009832C0" w:rsidP="002B0F75">
            <w:pPr>
              <w:spacing w:after="0" w:line="360" w:lineRule="auto"/>
              <w:rPr>
                <w:rFonts w:ascii="Cambria" w:hAnsi="Cambria"/>
                <w:b/>
                <w:sz w:val="24"/>
                <w:szCs w:val="24"/>
              </w:rPr>
            </w:pPr>
            <w:r w:rsidRPr="00CD2F5C">
              <w:rPr>
                <w:rFonts w:ascii="Cambria" w:hAnsi="Cambria"/>
                <w:b/>
                <w:sz w:val="24"/>
                <w:szCs w:val="24"/>
              </w:rPr>
              <w:t xml:space="preserve">UK Biobank </w:t>
            </w:r>
          </w:p>
          <w:p w14:paraId="505340D9"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(n = 499,877)</w:t>
            </w:r>
          </w:p>
          <w:p w14:paraId="24EBAEA2"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No. of Persons</w:t>
            </w:r>
          </w:p>
        </w:tc>
        <w:tc>
          <w:tcPr>
            <w:tcW w:w="621" w:type="dxa"/>
            <w:tcBorders>
              <w:top w:val="single" w:sz="2" w:space="0" w:color="000000"/>
              <w:left w:val="single" w:sz="2" w:space="0" w:color="000000"/>
              <w:bottom w:val="single" w:sz="2" w:space="0" w:color="000000"/>
              <w:right w:val="single" w:sz="2" w:space="0" w:color="000000"/>
            </w:tcBorders>
            <w:shd w:val="clear" w:color="auto" w:fill="A7A9AC"/>
            <w:vAlign w:val="bottom"/>
            <w:hideMark/>
          </w:tcPr>
          <w:p w14:paraId="0097429D"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w:t>
            </w:r>
          </w:p>
        </w:tc>
        <w:tc>
          <w:tcPr>
            <w:tcW w:w="1719" w:type="dxa"/>
            <w:tcBorders>
              <w:top w:val="single" w:sz="2" w:space="0" w:color="000000"/>
              <w:left w:val="single" w:sz="2" w:space="0" w:color="000000"/>
              <w:bottom w:val="single" w:sz="2" w:space="0" w:color="000000"/>
              <w:right w:val="single" w:sz="2" w:space="0" w:color="000000"/>
            </w:tcBorders>
            <w:shd w:val="clear" w:color="auto" w:fill="A7A9AC"/>
            <w:hideMark/>
          </w:tcPr>
          <w:p w14:paraId="45E338A2" w14:textId="77777777" w:rsidR="009832C0" w:rsidRPr="00CD2F5C" w:rsidRDefault="009832C0" w:rsidP="002B0F75">
            <w:pPr>
              <w:spacing w:after="0" w:line="360" w:lineRule="auto"/>
              <w:rPr>
                <w:rFonts w:ascii="Cambria" w:hAnsi="Cambria"/>
                <w:b/>
                <w:sz w:val="24"/>
                <w:szCs w:val="24"/>
              </w:rPr>
            </w:pPr>
            <w:r w:rsidRPr="00CD2F5C">
              <w:rPr>
                <w:rFonts w:ascii="Cambria" w:hAnsi="Cambria"/>
                <w:b/>
                <w:sz w:val="24"/>
                <w:szCs w:val="24"/>
              </w:rPr>
              <w:t xml:space="preserve">2001 UK Census (n = 20,198,307) </w:t>
            </w:r>
          </w:p>
          <w:p w14:paraId="39007027"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No. of Persons</w:t>
            </w:r>
          </w:p>
        </w:tc>
        <w:tc>
          <w:tcPr>
            <w:tcW w:w="619" w:type="dxa"/>
            <w:tcBorders>
              <w:top w:val="single" w:sz="2" w:space="0" w:color="000000"/>
              <w:left w:val="single" w:sz="2" w:space="0" w:color="000000"/>
              <w:bottom w:val="single" w:sz="2" w:space="0" w:color="000000"/>
              <w:right w:val="single" w:sz="2" w:space="0" w:color="000000"/>
            </w:tcBorders>
            <w:shd w:val="clear" w:color="auto" w:fill="A7A9AC"/>
            <w:vAlign w:val="bottom"/>
            <w:hideMark/>
          </w:tcPr>
          <w:p w14:paraId="60DB4A2E"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w:t>
            </w:r>
          </w:p>
        </w:tc>
        <w:tc>
          <w:tcPr>
            <w:tcW w:w="2179" w:type="dxa"/>
            <w:tcBorders>
              <w:top w:val="single" w:sz="2" w:space="0" w:color="000000"/>
              <w:left w:val="single" w:sz="2" w:space="0" w:color="000000"/>
              <w:bottom w:val="single" w:sz="2" w:space="0" w:color="000000"/>
              <w:right w:val="single" w:sz="2" w:space="0" w:color="000000"/>
            </w:tcBorders>
            <w:shd w:val="clear" w:color="auto" w:fill="A7A9AC"/>
            <w:vAlign w:val="bottom"/>
            <w:hideMark/>
          </w:tcPr>
          <w:p w14:paraId="57B9A186" w14:textId="77777777" w:rsidR="009832C0" w:rsidRPr="00CD2F5C" w:rsidRDefault="009832C0" w:rsidP="002B0F75">
            <w:pPr>
              <w:spacing w:after="0" w:line="360" w:lineRule="auto"/>
              <w:rPr>
                <w:rFonts w:ascii="Cambria" w:hAnsi="Cambria"/>
                <w:b/>
                <w:sz w:val="24"/>
                <w:szCs w:val="24"/>
              </w:rPr>
            </w:pPr>
            <w:r w:rsidRPr="00CD2F5C">
              <w:rPr>
                <w:rFonts w:ascii="Cambria" w:hAnsi="Cambria"/>
                <w:b/>
                <w:sz w:val="24"/>
                <w:szCs w:val="24"/>
              </w:rPr>
              <w:t xml:space="preserve">2011 UK Census </w:t>
            </w:r>
          </w:p>
          <w:p w14:paraId="07767138"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(n = 23,146,612)</w:t>
            </w:r>
          </w:p>
          <w:p w14:paraId="65E21528"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No. of Persons</w:t>
            </w:r>
          </w:p>
        </w:tc>
        <w:tc>
          <w:tcPr>
            <w:tcW w:w="733" w:type="dxa"/>
            <w:tcBorders>
              <w:top w:val="single" w:sz="2" w:space="0" w:color="000000"/>
              <w:left w:val="single" w:sz="2" w:space="0" w:color="000000"/>
              <w:bottom w:val="single" w:sz="2" w:space="0" w:color="000000"/>
              <w:right w:val="single" w:sz="2" w:space="0" w:color="000000"/>
            </w:tcBorders>
            <w:shd w:val="clear" w:color="auto" w:fill="A7A9AC"/>
            <w:vAlign w:val="bottom"/>
            <w:hideMark/>
          </w:tcPr>
          <w:p w14:paraId="2D5298FE" w14:textId="77777777" w:rsidR="009832C0" w:rsidRPr="00CD2F5C" w:rsidRDefault="009832C0" w:rsidP="002B0F75">
            <w:pPr>
              <w:spacing w:after="0" w:line="360" w:lineRule="auto"/>
              <w:rPr>
                <w:rFonts w:ascii="Cambria" w:hAnsi="Cambria"/>
                <w:sz w:val="24"/>
                <w:szCs w:val="24"/>
              </w:rPr>
            </w:pPr>
            <w:r w:rsidRPr="00CD2F5C">
              <w:rPr>
                <w:rFonts w:ascii="Cambria" w:hAnsi="Cambria"/>
                <w:b/>
                <w:sz w:val="24"/>
                <w:szCs w:val="24"/>
              </w:rPr>
              <w:t>%</w:t>
            </w:r>
          </w:p>
        </w:tc>
      </w:tr>
      <w:tr w:rsidR="009832C0" w:rsidRPr="00CD2F5C" w14:paraId="5E43180B"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0024895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White</w:t>
            </w:r>
            <w:r w:rsidRPr="00CD2F5C">
              <w:rPr>
                <w:rFonts w:ascii="Cambria" w:hAnsi="Cambria"/>
                <w:sz w:val="24"/>
                <w:szCs w:val="24"/>
                <w:vertAlign w:val="superscript"/>
              </w:rPr>
              <w:t>c</w:t>
            </w:r>
          </w:p>
        </w:tc>
        <w:tc>
          <w:tcPr>
            <w:tcW w:w="1620" w:type="dxa"/>
            <w:tcBorders>
              <w:top w:val="single" w:sz="2" w:space="0" w:color="000000"/>
              <w:left w:val="single" w:sz="2" w:space="0" w:color="000000"/>
              <w:bottom w:val="single" w:sz="2" w:space="0" w:color="000000"/>
              <w:right w:val="single" w:sz="2" w:space="0" w:color="000000"/>
            </w:tcBorders>
            <w:hideMark/>
          </w:tcPr>
          <w:p w14:paraId="14B5080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472,837</w:t>
            </w:r>
          </w:p>
        </w:tc>
        <w:tc>
          <w:tcPr>
            <w:tcW w:w="621" w:type="dxa"/>
            <w:tcBorders>
              <w:top w:val="single" w:sz="2" w:space="0" w:color="000000"/>
              <w:left w:val="single" w:sz="2" w:space="0" w:color="000000"/>
              <w:bottom w:val="single" w:sz="2" w:space="0" w:color="000000"/>
              <w:right w:val="single" w:sz="2" w:space="0" w:color="000000"/>
            </w:tcBorders>
            <w:hideMark/>
          </w:tcPr>
          <w:p w14:paraId="0001A3F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94.6</w:t>
            </w:r>
          </w:p>
        </w:tc>
        <w:tc>
          <w:tcPr>
            <w:tcW w:w="1719" w:type="dxa"/>
            <w:tcBorders>
              <w:top w:val="single" w:sz="2" w:space="0" w:color="000000"/>
              <w:left w:val="single" w:sz="2" w:space="0" w:color="000000"/>
              <w:bottom w:val="single" w:sz="2" w:space="0" w:color="000000"/>
              <w:right w:val="single" w:sz="2" w:space="0" w:color="000000"/>
            </w:tcBorders>
            <w:hideMark/>
          </w:tcPr>
          <w:p w14:paraId="59FC6ED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19,085,322</w:t>
            </w:r>
          </w:p>
        </w:tc>
        <w:tc>
          <w:tcPr>
            <w:tcW w:w="619" w:type="dxa"/>
            <w:tcBorders>
              <w:top w:val="single" w:sz="2" w:space="0" w:color="000000"/>
              <w:left w:val="single" w:sz="2" w:space="0" w:color="000000"/>
              <w:bottom w:val="single" w:sz="2" w:space="0" w:color="000000"/>
              <w:right w:val="single" w:sz="2" w:space="0" w:color="000000"/>
            </w:tcBorders>
            <w:hideMark/>
          </w:tcPr>
          <w:p w14:paraId="443502E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94.5</w:t>
            </w:r>
          </w:p>
        </w:tc>
        <w:tc>
          <w:tcPr>
            <w:tcW w:w="2179" w:type="dxa"/>
            <w:tcBorders>
              <w:top w:val="single" w:sz="2" w:space="0" w:color="000000"/>
              <w:left w:val="single" w:sz="2" w:space="0" w:color="000000"/>
              <w:bottom w:val="single" w:sz="2" w:space="0" w:color="000000"/>
              <w:right w:val="single" w:sz="2" w:space="0" w:color="000000"/>
            </w:tcBorders>
            <w:hideMark/>
          </w:tcPr>
          <w:p w14:paraId="40BD5F1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21,133,317</w:t>
            </w:r>
          </w:p>
        </w:tc>
        <w:tc>
          <w:tcPr>
            <w:tcW w:w="733" w:type="dxa"/>
            <w:tcBorders>
              <w:top w:val="single" w:sz="2" w:space="0" w:color="000000"/>
              <w:left w:val="single" w:sz="2" w:space="0" w:color="000000"/>
              <w:bottom w:val="single" w:sz="2" w:space="0" w:color="000000"/>
              <w:right w:val="single" w:sz="2" w:space="0" w:color="000000"/>
            </w:tcBorders>
            <w:hideMark/>
          </w:tcPr>
          <w:p w14:paraId="3BF5C2E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91.3</w:t>
            </w:r>
          </w:p>
        </w:tc>
      </w:tr>
      <w:tr w:rsidR="009832C0" w:rsidRPr="00CD2F5C" w14:paraId="5E01321F"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4EFE4F1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Black or </w:t>
            </w:r>
            <w:proofErr w:type="gramStart"/>
            <w:r w:rsidRPr="00CD2F5C">
              <w:rPr>
                <w:rFonts w:ascii="Cambria" w:hAnsi="Cambria"/>
                <w:sz w:val="24"/>
                <w:szCs w:val="24"/>
              </w:rPr>
              <w:t xml:space="preserve">black  </w:t>
            </w:r>
            <w:proofErr w:type="spellStart"/>
            <w:r w:rsidRPr="00CD2F5C">
              <w:rPr>
                <w:rFonts w:ascii="Cambria" w:hAnsi="Cambria"/>
                <w:sz w:val="24"/>
                <w:szCs w:val="24"/>
              </w:rPr>
              <w:t>British</w:t>
            </w:r>
            <w:r w:rsidRPr="00CD2F5C">
              <w:rPr>
                <w:rFonts w:ascii="Cambria" w:hAnsi="Cambria"/>
                <w:sz w:val="24"/>
                <w:szCs w:val="24"/>
                <w:vertAlign w:val="superscript"/>
              </w:rPr>
              <w:t>d</w:t>
            </w:r>
            <w:proofErr w:type="spellEnd"/>
            <w:proofErr w:type="gramEnd"/>
          </w:p>
        </w:tc>
        <w:tc>
          <w:tcPr>
            <w:tcW w:w="1620" w:type="dxa"/>
            <w:tcBorders>
              <w:top w:val="single" w:sz="2" w:space="0" w:color="000000"/>
              <w:left w:val="single" w:sz="2" w:space="0" w:color="000000"/>
              <w:bottom w:val="single" w:sz="2" w:space="0" w:color="000000"/>
              <w:right w:val="single" w:sz="2" w:space="0" w:color="000000"/>
            </w:tcBorders>
            <w:hideMark/>
          </w:tcPr>
          <w:p w14:paraId="0D2BF65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8066</w:t>
            </w:r>
          </w:p>
        </w:tc>
        <w:tc>
          <w:tcPr>
            <w:tcW w:w="621" w:type="dxa"/>
            <w:tcBorders>
              <w:top w:val="single" w:sz="2" w:space="0" w:color="000000"/>
              <w:left w:val="single" w:sz="2" w:space="0" w:color="000000"/>
              <w:bottom w:val="single" w:sz="2" w:space="0" w:color="000000"/>
              <w:right w:val="single" w:sz="2" w:space="0" w:color="000000"/>
            </w:tcBorders>
            <w:hideMark/>
          </w:tcPr>
          <w:p w14:paraId="6A959C0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1.6</w:t>
            </w:r>
          </w:p>
        </w:tc>
        <w:tc>
          <w:tcPr>
            <w:tcW w:w="1719" w:type="dxa"/>
            <w:tcBorders>
              <w:top w:val="single" w:sz="2" w:space="0" w:color="000000"/>
              <w:left w:val="single" w:sz="2" w:space="0" w:color="000000"/>
              <w:bottom w:val="single" w:sz="2" w:space="0" w:color="000000"/>
              <w:right w:val="single" w:sz="2" w:space="0" w:color="000000"/>
            </w:tcBorders>
            <w:hideMark/>
          </w:tcPr>
          <w:p w14:paraId="088EA1A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302,073</w:t>
            </w:r>
          </w:p>
        </w:tc>
        <w:tc>
          <w:tcPr>
            <w:tcW w:w="619" w:type="dxa"/>
            <w:tcBorders>
              <w:top w:val="single" w:sz="2" w:space="0" w:color="000000"/>
              <w:left w:val="single" w:sz="2" w:space="0" w:color="000000"/>
              <w:bottom w:val="single" w:sz="2" w:space="0" w:color="000000"/>
              <w:right w:val="single" w:sz="2" w:space="0" w:color="000000"/>
            </w:tcBorders>
            <w:hideMark/>
          </w:tcPr>
          <w:p w14:paraId="62DBCAC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1.5</w:t>
            </w:r>
          </w:p>
        </w:tc>
        <w:tc>
          <w:tcPr>
            <w:tcW w:w="2179" w:type="dxa"/>
            <w:tcBorders>
              <w:top w:val="single" w:sz="2" w:space="0" w:color="000000"/>
              <w:left w:val="single" w:sz="2" w:space="0" w:color="000000"/>
              <w:bottom w:val="single" w:sz="2" w:space="0" w:color="000000"/>
              <w:right w:val="single" w:sz="2" w:space="0" w:color="000000"/>
            </w:tcBorders>
            <w:hideMark/>
          </w:tcPr>
          <w:p w14:paraId="24FFD31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565,777</w:t>
            </w:r>
          </w:p>
        </w:tc>
        <w:tc>
          <w:tcPr>
            <w:tcW w:w="733" w:type="dxa"/>
            <w:tcBorders>
              <w:top w:val="single" w:sz="2" w:space="0" w:color="000000"/>
              <w:left w:val="single" w:sz="2" w:space="0" w:color="000000"/>
              <w:bottom w:val="single" w:sz="2" w:space="0" w:color="000000"/>
              <w:right w:val="single" w:sz="2" w:space="0" w:color="000000"/>
            </w:tcBorders>
            <w:hideMark/>
          </w:tcPr>
          <w:p w14:paraId="05530C0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2.4</w:t>
            </w:r>
          </w:p>
        </w:tc>
      </w:tr>
      <w:tr w:rsidR="009832C0" w:rsidRPr="00CD2F5C" w14:paraId="5674B3B0"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6EECB756" w14:textId="77777777" w:rsidR="009832C0" w:rsidRPr="00CD2F5C" w:rsidRDefault="009832C0" w:rsidP="002B0F75">
            <w:pPr>
              <w:spacing w:line="360" w:lineRule="auto"/>
              <w:rPr>
                <w:rFonts w:ascii="Cambria" w:hAnsi="Cambria"/>
                <w:sz w:val="24"/>
                <w:szCs w:val="24"/>
              </w:rPr>
            </w:pPr>
            <w:proofErr w:type="spellStart"/>
            <w:r w:rsidRPr="00CD2F5C">
              <w:rPr>
                <w:rFonts w:ascii="Cambria" w:hAnsi="Cambria"/>
                <w:sz w:val="24"/>
                <w:szCs w:val="24"/>
              </w:rPr>
              <w:t>Mixed</w:t>
            </w:r>
            <w:r w:rsidRPr="00CD2F5C">
              <w:rPr>
                <w:rFonts w:ascii="Cambria" w:hAnsi="Cambria"/>
                <w:sz w:val="24"/>
                <w:szCs w:val="24"/>
                <w:vertAlign w:val="superscript"/>
              </w:rPr>
              <w:t>e</w:t>
            </w:r>
            <w:proofErr w:type="spellEnd"/>
          </w:p>
        </w:tc>
        <w:tc>
          <w:tcPr>
            <w:tcW w:w="1620" w:type="dxa"/>
            <w:tcBorders>
              <w:top w:val="single" w:sz="2" w:space="0" w:color="000000"/>
              <w:left w:val="single" w:sz="2" w:space="0" w:color="000000"/>
              <w:bottom w:val="single" w:sz="2" w:space="0" w:color="000000"/>
              <w:right w:val="single" w:sz="2" w:space="0" w:color="000000"/>
            </w:tcBorders>
            <w:hideMark/>
          </w:tcPr>
          <w:p w14:paraId="0A42438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2958</w:t>
            </w:r>
          </w:p>
        </w:tc>
        <w:tc>
          <w:tcPr>
            <w:tcW w:w="621" w:type="dxa"/>
            <w:tcBorders>
              <w:top w:val="single" w:sz="2" w:space="0" w:color="000000"/>
              <w:left w:val="single" w:sz="2" w:space="0" w:color="000000"/>
              <w:bottom w:val="single" w:sz="2" w:space="0" w:color="000000"/>
              <w:right w:val="single" w:sz="2" w:space="0" w:color="000000"/>
            </w:tcBorders>
            <w:hideMark/>
          </w:tcPr>
          <w:p w14:paraId="2B261B8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0.6</w:t>
            </w:r>
          </w:p>
        </w:tc>
        <w:tc>
          <w:tcPr>
            <w:tcW w:w="1719" w:type="dxa"/>
            <w:tcBorders>
              <w:top w:val="single" w:sz="2" w:space="0" w:color="000000"/>
              <w:left w:val="single" w:sz="2" w:space="0" w:color="000000"/>
              <w:bottom w:val="single" w:sz="2" w:space="0" w:color="000000"/>
              <w:right w:val="single" w:sz="2" w:space="0" w:color="000000"/>
            </w:tcBorders>
            <w:hideMark/>
          </w:tcPr>
          <w:p w14:paraId="6FFA5FA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82,389</w:t>
            </w:r>
          </w:p>
        </w:tc>
        <w:tc>
          <w:tcPr>
            <w:tcW w:w="619" w:type="dxa"/>
            <w:tcBorders>
              <w:top w:val="single" w:sz="2" w:space="0" w:color="000000"/>
              <w:left w:val="single" w:sz="2" w:space="0" w:color="000000"/>
              <w:bottom w:val="single" w:sz="2" w:space="0" w:color="000000"/>
              <w:right w:val="single" w:sz="2" w:space="0" w:color="000000"/>
            </w:tcBorders>
            <w:hideMark/>
          </w:tcPr>
          <w:p w14:paraId="7333AB0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0.4</w:t>
            </w:r>
          </w:p>
        </w:tc>
        <w:tc>
          <w:tcPr>
            <w:tcW w:w="2179" w:type="dxa"/>
            <w:tcBorders>
              <w:top w:val="single" w:sz="2" w:space="0" w:color="000000"/>
              <w:left w:val="single" w:sz="2" w:space="0" w:color="000000"/>
              <w:bottom w:val="single" w:sz="2" w:space="0" w:color="000000"/>
              <w:right w:val="single" w:sz="2" w:space="0" w:color="000000"/>
            </w:tcBorders>
            <w:hideMark/>
          </w:tcPr>
          <w:p w14:paraId="2035426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191,085</w:t>
            </w:r>
          </w:p>
        </w:tc>
        <w:tc>
          <w:tcPr>
            <w:tcW w:w="733" w:type="dxa"/>
            <w:tcBorders>
              <w:top w:val="single" w:sz="2" w:space="0" w:color="000000"/>
              <w:left w:val="single" w:sz="2" w:space="0" w:color="000000"/>
              <w:bottom w:val="single" w:sz="2" w:space="0" w:color="000000"/>
              <w:right w:val="single" w:sz="2" w:space="0" w:color="000000"/>
            </w:tcBorders>
            <w:hideMark/>
          </w:tcPr>
          <w:p w14:paraId="3640291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0.8</w:t>
            </w:r>
          </w:p>
        </w:tc>
      </w:tr>
      <w:tr w:rsidR="009832C0" w:rsidRPr="00CD2F5C" w14:paraId="5E15BF8C"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561E557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Indian</w:t>
            </w:r>
          </w:p>
        </w:tc>
        <w:tc>
          <w:tcPr>
            <w:tcW w:w="1620" w:type="dxa"/>
            <w:tcBorders>
              <w:top w:val="single" w:sz="2" w:space="0" w:color="000000"/>
              <w:left w:val="single" w:sz="2" w:space="0" w:color="000000"/>
              <w:bottom w:val="single" w:sz="2" w:space="0" w:color="000000"/>
              <w:right w:val="single" w:sz="2" w:space="0" w:color="000000"/>
            </w:tcBorders>
            <w:hideMark/>
          </w:tcPr>
          <w:p w14:paraId="64C1404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5951</w:t>
            </w:r>
          </w:p>
        </w:tc>
        <w:tc>
          <w:tcPr>
            <w:tcW w:w="621" w:type="dxa"/>
            <w:tcBorders>
              <w:top w:val="single" w:sz="2" w:space="0" w:color="000000"/>
              <w:left w:val="single" w:sz="2" w:space="0" w:color="000000"/>
              <w:bottom w:val="single" w:sz="2" w:space="0" w:color="000000"/>
              <w:right w:val="single" w:sz="2" w:space="0" w:color="000000"/>
            </w:tcBorders>
            <w:hideMark/>
          </w:tcPr>
          <w:p w14:paraId="64CB7DF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1.2</w:t>
            </w:r>
          </w:p>
        </w:tc>
        <w:tc>
          <w:tcPr>
            <w:tcW w:w="1719" w:type="dxa"/>
            <w:tcBorders>
              <w:top w:val="single" w:sz="2" w:space="0" w:color="000000"/>
              <w:left w:val="single" w:sz="2" w:space="0" w:color="000000"/>
              <w:bottom w:val="single" w:sz="2" w:space="0" w:color="000000"/>
              <w:right w:val="single" w:sz="2" w:space="0" w:color="000000"/>
            </w:tcBorders>
            <w:hideMark/>
          </w:tcPr>
          <w:p w14:paraId="6DAB6F7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325,651</w:t>
            </w:r>
          </w:p>
        </w:tc>
        <w:tc>
          <w:tcPr>
            <w:tcW w:w="619" w:type="dxa"/>
            <w:tcBorders>
              <w:top w:val="single" w:sz="2" w:space="0" w:color="000000"/>
              <w:left w:val="single" w:sz="2" w:space="0" w:color="000000"/>
              <w:bottom w:val="single" w:sz="2" w:space="0" w:color="000000"/>
              <w:right w:val="single" w:sz="2" w:space="0" w:color="000000"/>
            </w:tcBorders>
            <w:hideMark/>
          </w:tcPr>
          <w:p w14:paraId="64DF740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1.6</w:t>
            </w:r>
          </w:p>
        </w:tc>
        <w:tc>
          <w:tcPr>
            <w:tcW w:w="2179" w:type="dxa"/>
            <w:tcBorders>
              <w:top w:val="single" w:sz="2" w:space="0" w:color="000000"/>
              <w:left w:val="single" w:sz="2" w:space="0" w:color="000000"/>
              <w:bottom w:val="single" w:sz="2" w:space="0" w:color="000000"/>
              <w:right w:val="single" w:sz="2" w:space="0" w:color="000000"/>
            </w:tcBorders>
            <w:hideMark/>
          </w:tcPr>
          <w:p w14:paraId="6B72337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442,338</w:t>
            </w:r>
          </w:p>
        </w:tc>
        <w:tc>
          <w:tcPr>
            <w:tcW w:w="733" w:type="dxa"/>
            <w:tcBorders>
              <w:top w:val="single" w:sz="2" w:space="0" w:color="000000"/>
              <w:left w:val="single" w:sz="2" w:space="0" w:color="000000"/>
              <w:bottom w:val="single" w:sz="2" w:space="0" w:color="000000"/>
              <w:right w:val="single" w:sz="2" w:space="0" w:color="000000"/>
            </w:tcBorders>
            <w:hideMark/>
          </w:tcPr>
          <w:p w14:paraId="172E162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1.9</w:t>
            </w:r>
          </w:p>
        </w:tc>
      </w:tr>
      <w:tr w:rsidR="009832C0" w:rsidRPr="00CD2F5C" w14:paraId="5F563903"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036239B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Pakistani</w:t>
            </w:r>
          </w:p>
        </w:tc>
        <w:tc>
          <w:tcPr>
            <w:tcW w:w="1620" w:type="dxa"/>
            <w:tcBorders>
              <w:top w:val="single" w:sz="2" w:space="0" w:color="000000"/>
              <w:left w:val="single" w:sz="2" w:space="0" w:color="000000"/>
              <w:bottom w:val="single" w:sz="2" w:space="0" w:color="000000"/>
              <w:right w:val="single" w:sz="2" w:space="0" w:color="000000"/>
            </w:tcBorders>
            <w:hideMark/>
          </w:tcPr>
          <w:p w14:paraId="6A4D3C3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1837</w:t>
            </w:r>
          </w:p>
        </w:tc>
        <w:tc>
          <w:tcPr>
            <w:tcW w:w="621" w:type="dxa"/>
            <w:tcBorders>
              <w:top w:val="single" w:sz="2" w:space="0" w:color="000000"/>
              <w:left w:val="single" w:sz="2" w:space="0" w:color="000000"/>
              <w:bottom w:val="single" w:sz="2" w:space="0" w:color="000000"/>
              <w:right w:val="single" w:sz="2" w:space="0" w:color="000000"/>
            </w:tcBorders>
            <w:hideMark/>
          </w:tcPr>
          <w:p w14:paraId="300B9A7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0.4</w:t>
            </w:r>
          </w:p>
        </w:tc>
        <w:tc>
          <w:tcPr>
            <w:tcW w:w="1719" w:type="dxa"/>
            <w:tcBorders>
              <w:top w:val="single" w:sz="2" w:space="0" w:color="000000"/>
              <w:left w:val="single" w:sz="2" w:space="0" w:color="000000"/>
              <w:bottom w:val="single" w:sz="2" w:space="0" w:color="000000"/>
              <w:right w:val="single" w:sz="2" w:space="0" w:color="000000"/>
            </w:tcBorders>
            <w:hideMark/>
          </w:tcPr>
          <w:p w14:paraId="48319F9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147,695</w:t>
            </w:r>
          </w:p>
        </w:tc>
        <w:tc>
          <w:tcPr>
            <w:tcW w:w="619" w:type="dxa"/>
            <w:tcBorders>
              <w:top w:val="single" w:sz="2" w:space="0" w:color="000000"/>
              <w:left w:val="single" w:sz="2" w:space="0" w:color="000000"/>
              <w:bottom w:val="single" w:sz="2" w:space="0" w:color="000000"/>
              <w:right w:val="single" w:sz="2" w:space="0" w:color="000000"/>
            </w:tcBorders>
            <w:hideMark/>
          </w:tcPr>
          <w:p w14:paraId="32C383C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0.7</w:t>
            </w:r>
          </w:p>
        </w:tc>
        <w:tc>
          <w:tcPr>
            <w:tcW w:w="2179" w:type="dxa"/>
            <w:tcBorders>
              <w:top w:val="single" w:sz="2" w:space="0" w:color="000000"/>
              <w:left w:val="single" w:sz="2" w:space="0" w:color="000000"/>
              <w:bottom w:val="single" w:sz="2" w:space="0" w:color="000000"/>
              <w:right w:val="single" w:sz="2" w:space="0" w:color="000000"/>
            </w:tcBorders>
            <w:hideMark/>
          </w:tcPr>
          <w:p w14:paraId="11A4083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239,166</w:t>
            </w:r>
          </w:p>
        </w:tc>
        <w:tc>
          <w:tcPr>
            <w:tcW w:w="733" w:type="dxa"/>
            <w:tcBorders>
              <w:top w:val="single" w:sz="2" w:space="0" w:color="000000"/>
              <w:left w:val="single" w:sz="2" w:space="0" w:color="000000"/>
              <w:bottom w:val="single" w:sz="2" w:space="0" w:color="000000"/>
              <w:right w:val="single" w:sz="2" w:space="0" w:color="000000"/>
            </w:tcBorders>
            <w:hideMark/>
          </w:tcPr>
          <w:p w14:paraId="5CDB2CE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1.0</w:t>
            </w:r>
          </w:p>
        </w:tc>
      </w:tr>
      <w:tr w:rsidR="009832C0" w:rsidRPr="00CD2F5C" w14:paraId="519453B7"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09D6108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Bangladeshi</w:t>
            </w:r>
          </w:p>
        </w:tc>
        <w:tc>
          <w:tcPr>
            <w:tcW w:w="1620" w:type="dxa"/>
            <w:tcBorders>
              <w:top w:val="single" w:sz="2" w:space="0" w:color="000000"/>
              <w:left w:val="single" w:sz="2" w:space="0" w:color="000000"/>
              <w:bottom w:val="single" w:sz="2" w:space="0" w:color="000000"/>
              <w:right w:val="single" w:sz="2" w:space="0" w:color="000000"/>
            </w:tcBorders>
            <w:hideMark/>
          </w:tcPr>
          <w:p w14:paraId="74455FE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236</w:t>
            </w:r>
          </w:p>
        </w:tc>
        <w:tc>
          <w:tcPr>
            <w:tcW w:w="621" w:type="dxa"/>
            <w:tcBorders>
              <w:top w:val="single" w:sz="2" w:space="0" w:color="000000"/>
              <w:left w:val="single" w:sz="2" w:space="0" w:color="000000"/>
              <w:bottom w:val="single" w:sz="2" w:space="0" w:color="000000"/>
              <w:right w:val="single" w:sz="2" w:space="0" w:color="000000"/>
            </w:tcBorders>
            <w:hideMark/>
          </w:tcPr>
          <w:p w14:paraId="247D6F6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w:t>
            </w:r>
          </w:p>
        </w:tc>
        <w:tc>
          <w:tcPr>
            <w:tcW w:w="1719" w:type="dxa"/>
            <w:tcBorders>
              <w:top w:val="single" w:sz="2" w:space="0" w:color="000000"/>
              <w:left w:val="single" w:sz="2" w:space="0" w:color="000000"/>
              <w:bottom w:val="single" w:sz="2" w:space="0" w:color="000000"/>
              <w:right w:val="single" w:sz="2" w:space="0" w:color="000000"/>
            </w:tcBorders>
            <w:hideMark/>
          </w:tcPr>
          <w:p w14:paraId="7B284CC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46,220</w:t>
            </w:r>
          </w:p>
        </w:tc>
        <w:tc>
          <w:tcPr>
            <w:tcW w:w="619" w:type="dxa"/>
            <w:tcBorders>
              <w:top w:val="single" w:sz="2" w:space="0" w:color="000000"/>
              <w:left w:val="single" w:sz="2" w:space="0" w:color="000000"/>
              <w:bottom w:val="single" w:sz="2" w:space="0" w:color="000000"/>
              <w:right w:val="single" w:sz="2" w:space="0" w:color="000000"/>
            </w:tcBorders>
            <w:hideMark/>
          </w:tcPr>
          <w:p w14:paraId="5416B0F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0.2</w:t>
            </w:r>
          </w:p>
        </w:tc>
        <w:tc>
          <w:tcPr>
            <w:tcW w:w="2179" w:type="dxa"/>
            <w:tcBorders>
              <w:top w:val="single" w:sz="2" w:space="0" w:color="000000"/>
              <w:left w:val="single" w:sz="2" w:space="0" w:color="000000"/>
              <w:bottom w:val="single" w:sz="2" w:space="0" w:color="000000"/>
              <w:right w:val="single" w:sz="2" w:space="0" w:color="000000"/>
            </w:tcBorders>
            <w:hideMark/>
          </w:tcPr>
          <w:p w14:paraId="058F7D4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75,919</w:t>
            </w:r>
          </w:p>
        </w:tc>
        <w:tc>
          <w:tcPr>
            <w:tcW w:w="733" w:type="dxa"/>
            <w:tcBorders>
              <w:top w:val="single" w:sz="2" w:space="0" w:color="000000"/>
              <w:left w:val="single" w:sz="2" w:space="0" w:color="000000"/>
              <w:bottom w:val="single" w:sz="2" w:space="0" w:color="000000"/>
              <w:right w:val="single" w:sz="2" w:space="0" w:color="000000"/>
            </w:tcBorders>
            <w:hideMark/>
          </w:tcPr>
          <w:p w14:paraId="6CC4B65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0.3</w:t>
            </w:r>
          </w:p>
        </w:tc>
      </w:tr>
      <w:tr w:rsidR="009832C0" w:rsidRPr="00CD2F5C" w14:paraId="3C1BFF6E"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425C762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Chinese</w:t>
            </w:r>
          </w:p>
        </w:tc>
        <w:tc>
          <w:tcPr>
            <w:tcW w:w="1620" w:type="dxa"/>
            <w:tcBorders>
              <w:top w:val="single" w:sz="2" w:space="0" w:color="000000"/>
              <w:left w:val="single" w:sz="2" w:space="0" w:color="000000"/>
              <w:bottom w:val="single" w:sz="2" w:space="0" w:color="000000"/>
              <w:right w:val="single" w:sz="2" w:space="0" w:color="000000"/>
            </w:tcBorders>
            <w:hideMark/>
          </w:tcPr>
          <w:p w14:paraId="702DE53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1574</w:t>
            </w:r>
          </w:p>
        </w:tc>
        <w:tc>
          <w:tcPr>
            <w:tcW w:w="621" w:type="dxa"/>
            <w:tcBorders>
              <w:top w:val="single" w:sz="2" w:space="0" w:color="000000"/>
              <w:left w:val="single" w:sz="2" w:space="0" w:color="000000"/>
              <w:bottom w:val="single" w:sz="2" w:space="0" w:color="000000"/>
              <w:right w:val="single" w:sz="2" w:space="0" w:color="000000"/>
            </w:tcBorders>
            <w:hideMark/>
          </w:tcPr>
          <w:p w14:paraId="2BBEBB5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0.3</w:t>
            </w:r>
          </w:p>
        </w:tc>
        <w:tc>
          <w:tcPr>
            <w:tcW w:w="1719" w:type="dxa"/>
            <w:tcBorders>
              <w:top w:val="single" w:sz="2" w:space="0" w:color="000000"/>
              <w:left w:val="single" w:sz="2" w:space="0" w:color="000000"/>
              <w:bottom w:val="single" w:sz="2" w:space="0" w:color="000000"/>
              <w:right w:val="single" w:sz="2" w:space="0" w:color="000000"/>
            </w:tcBorders>
            <w:hideMark/>
          </w:tcPr>
          <w:p w14:paraId="4F26663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70,572</w:t>
            </w:r>
          </w:p>
        </w:tc>
        <w:tc>
          <w:tcPr>
            <w:tcW w:w="619" w:type="dxa"/>
            <w:tcBorders>
              <w:top w:val="single" w:sz="2" w:space="0" w:color="000000"/>
              <w:left w:val="single" w:sz="2" w:space="0" w:color="000000"/>
              <w:bottom w:val="single" w:sz="2" w:space="0" w:color="000000"/>
              <w:right w:val="single" w:sz="2" w:space="0" w:color="000000"/>
            </w:tcBorders>
            <w:hideMark/>
          </w:tcPr>
          <w:p w14:paraId="0F2BB20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0.3</w:t>
            </w:r>
          </w:p>
        </w:tc>
        <w:tc>
          <w:tcPr>
            <w:tcW w:w="2179" w:type="dxa"/>
            <w:tcBorders>
              <w:top w:val="single" w:sz="2" w:space="0" w:color="000000"/>
              <w:left w:val="single" w:sz="2" w:space="0" w:color="000000"/>
              <w:bottom w:val="single" w:sz="2" w:space="0" w:color="000000"/>
              <w:right w:val="single" w:sz="2" w:space="0" w:color="000000"/>
            </w:tcBorders>
            <w:hideMark/>
          </w:tcPr>
          <w:p w14:paraId="1A5AA2C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109,412</w:t>
            </w:r>
          </w:p>
        </w:tc>
        <w:tc>
          <w:tcPr>
            <w:tcW w:w="733" w:type="dxa"/>
            <w:tcBorders>
              <w:top w:val="single" w:sz="2" w:space="0" w:color="000000"/>
              <w:left w:val="single" w:sz="2" w:space="0" w:color="000000"/>
              <w:bottom w:val="single" w:sz="2" w:space="0" w:color="000000"/>
              <w:right w:val="single" w:sz="2" w:space="0" w:color="000000"/>
            </w:tcBorders>
            <w:hideMark/>
          </w:tcPr>
          <w:p w14:paraId="222337A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w:t>
            </w:r>
          </w:p>
        </w:tc>
      </w:tr>
      <w:tr w:rsidR="009832C0" w:rsidRPr="00CD2F5C" w14:paraId="381FBD86"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1922E40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Other Asian</w:t>
            </w:r>
          </w:p>
        </w:tc>
        <w:tc>
          <w:tcPr>
            <w:tcW w:w="1620" w:type="dxa"/>
            <w:tcBorders>
              <w:top w:val="single" w:sz="2" w:space="0" w:color="000000"/>
              <w:left w:val="single" w:sz="2" w:space="0" w:color="000000"/>
              <w:bottom w:val="single" w:sz="2" w:space="0" w:color="000000"/>
              <w:right w:val="single" w:sz="2" w:space="0" w:color="000000"/>
            </w:tcBorders>
            <w:hideMark/>
          </w:tcPr>
          <w:p w14:paraId="6A9365F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1858</w:t>
            </w:r>
          </w:p>
        </w:tc>
        <w:tc>
          <w:tcPr>
            <w:tcW w:w="621" w:type="dxa"/>
            <w:tcBorders>
              <w:top w:val="single" w:sz="2" w:space="0" w:color="000000"/>
              <w:left w:val="single" w:sz="2" w:space="0" w:color="000000"/>
              <w:bottom w:val="single" w:sz="2" w:space="0" w:color="000000"/>
              <w:right w:val="single" w:sz="2" w:space="0" w:color="000000"/>
            </w:tcBorders>
            <w:hideMark/>
          </w:tcPr>
          <w:p w14:paraId="33BBAB1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0.4</w:t>
            </w:r>
          </w:p>
        </w:tc>
        <w:tc>
          <w:tcPr>
            <w:tcW w:w="1719" w:type="dxa"/>
            <w:tcBorders>
              <w:top w:val="single" w:sz="2" w:space="0" w:color="000000"/>
              <w:left w:val="single" w:sz="2" w:space="0" w:color="000000"/>
              <w:bottom w:val="single" w:sz="2" w:space="0" w:color="000000"/>
              <w:right w:val="single" w:sz="2" w:space="0" w:color="000000"/>
            </w:tcBorders>
            <w:hideMark/>
          </w:tcPr>
          <w:p w14:paraId="41A0777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73,917</w:t>
            </w:r>
          </w:p>
        </w:tc>
        <w:tc>
          <w:tcPr>
            <w:tcW w:w="619" w:type="dxa"/>
            <w:tcBorders>
              <w:top w:val="single" w:sz="2" w:space="0" w:color="000000"/>
              <w:left w:val="single" w:sz="2" w:space="0" w:color="000000"/>
              <w:bottom w:val="single" w:sz="2" w:space="0" w:color="000000"/>
              <w:right w:val="single" w:sz="2" w:space="0" w:color="000000"/>
            </w:tcBorders>
            <w:hideMark/>
          </w:tcPr>
          <w:p w14:paraId="4412DFD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0.4</w:t>
            </w:r>
          </w:p>
        </w:tc>
        <w:tc>
          <w:tcPr>
            <w:tcW w:w="2179" w:type="dxa"/>
            <w:tcBorders>
              <w:top w:val="single" w:sz="2" w:space="0" w:color="000000"/>
              <w:left w:val="single" w:sz="2" w:space="0" w:color="000000"/>
              <w:bottom w:val="single" w:sz="2" w:space="0" w:color="000000"/>
              <w:right w:val="single" w:sz="2" w:space="0" w:color="000000"/>
            </w:tcBorders>
            <w:hideMark/>
          </w:tcPr>
          <w:p w14:paraId="232271B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240,324</w:t>
            </w:r>
          </w:p>
        </w:tc>
        <w:tc>
          <w:tcPr>
            <w:tcW w:w="733" w:type="dxa"/>
            <w:tcBorders>
              <w:top w:val="single" w:sz="2" w:space="0" w:color="000000"/>
              <w:left w:val="single" w:sz="2" w:space="0" w:color="000000"/>
              <w:bottom w:val="single" w:sz="2" w:space="0" w:color="000000"/>
              <w:right w:val="single" w:sz="2" w:space="0" w:color="000000"/>
            </w:tcBorders>
            <w:hideMark/>
          </w:tcPr>
          <w:p w14:paraId="7B70F97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1.0</w:t>
            </w:r>
          </w:p>
        </w:tc>
      </w:tr>
      <w:tr w:rsidR="009832C0" w:rsidRPr="00CD2F5C" w14:paraId="6A95726F" w14:textId="77777777" w:rsidTr="006417A0">
        <w:trPr>
          <w:trHeight w:val="232"/>
        </w:trPr>
        <w:tc>
          <w:tcPr>
            <w:tcW w:w="1527" w:type="dxa"/>
            <w:tcBorders>
              <w:top w:val="single" w:sz="2" w:space="0" w:color="000000"/>
              <w:left w:val="single" w:sz="2" w:space="0" w:color="000000"/>
              <w:bottom w:val="single" w:sz="2" w:space="0" w:color="000000"/>
              <w:right w:val="single" w:sz="2" w:space="0" w:color="000000"/>
            </w:tcBorders>
            <w:hideMark/>
          </w:tcPr>
          <w:p w14:paraId="34B68F6D" w14:textId="77777777" w:rsidR="009832C0" w:rsidRPr="00CD2F5C" w:rsidRDefault="009832C0" w:rsidP="002B0F75">
            <w:pPr>
              <w:spacing w:line="360" w:lineRule="auto"/>
              <w:rPr>
                <w:rFonts w:ascii="Cambria" w:hAnsi="Cambria"/>
                <w:sz w:val="24"/>
                <w:szCs w:val="24"/>
              </w:rPr>
            </w:pPr>
            <w:proofErr w:type="gramStart"/>
            <w:r w:rsidRPr="00CD2F5C">
              <w:rPr>
                <w:rFonts w:ascii="Cambria" w:hAnsi="Cambria"/>
                <w:sz w:val="24"/>
                <w:szCs w:val="24"/>
              </w:rPr>
              <w:t>Other</w:t>
            </w:r>
            <w:proofErr w:type="gramEnd"/>
            <w:r w:rsidRPr="00CD2F5C">
              <w:rPr>
                <w:rFonts w:ascii="Cambria" w:hAnsi="Cambria"/>
                <w:sz w:val="24"/>
                <w:szCs w:val="24"/>
              </w:rPr>
              <w:t xml:space="preserve"> ethnic group</w:t>
            </w:r>
          </w:p>
        </w:tc>
        <w:tc>
          <w:tcPr>
            <w:tcW w:w="1620" w:type="dxa"/>
            <w:tcBorders>
              <w:top w:val="single" w:sz="2" w:space="0" w:color="000000"/>
              <w:left w:val="single" w:sz="2" w:space="0" w:color="000000"/>
              <w:bottom w:val="single" w:sz="2" w:space="0" w:color="000000"/>
              <w:right w:val="single" w:sz="2" w:space="0" w:color="000000"/>
            </w:tcBorders>
            <w:hideMark/>
          </w:tcPr>
          <w:p w14:paraId="5AA928F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4560</w:t>
            </w:r>
          </w:p>
        </w:tc>
        <w:tc>
          <w:tcPr>
            <w:tcW w:w="621" w:type="dxa"/>
            <w:tcBorders>
              <w:top w:val="single" w:sz="2" w:space="0" w:color="000000"/>
              <w:left w:val="single" w:sz="2" w:space="0" w:color="000000"/>
              <w:bottom w:val="single" w:sz="2" w:space="0" w:color="000000"/>
              <w:right w:val="single" w:sz="2" w:space="0" w:color="000000"/>
            </w:tcBorders>
            <w:hideMark/>
          </w:tcPr>
          <w:p w14:paraId="2695091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0.9</w:t>
            </w:r>
          </w:p>
        </w:tc>
        <w:tc>
          <w:tcPr>
            <w:tcW w:w="1719" w:type="dxa"/>
            <w:tcBorders>
              <w:top w:val="single" w:sz="2" w:space="0" w:color="000000"/>
              <w:left w:val="single" w:sz="2" w:space="0" w:color="000000"/>
              <w:bottom w:val="single" w:sz="2" w:space="0" w:color="000000"/>
              <w:right w:val="single" w:sz="2" w:space="0" w:color="000000"/>
            </w:tcBorders>
            <w:hideMark/>
          </w:tcPr>
          <w:p w14:paraId="3E8B434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64,468</w:t>
            </w:r>
          </w:p>
        </w:tc>
        <w:tc>
          <w:tcPr>
            <w:tcW w:w="619" w:type="dxa"/>
            <w:tcBorders>
              <w:top w:val="single" w:sz="2" w:space="0" w:color="000000"/>
              <w:left w:val="single" w:sz="2" w:space="0" w:color="000000"/>
              <w:bottom w:val="single" w:sz="2" w:space="0" w:color="000000"/>
              <w:right w:val="single" w:sz="2" w:space="0" w:color="000000"/>
            </w:tcBorders>
            <w:hideMark/>
          </w:tcPr>
          <w:p w14:paraId="7FA1A96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0.3</w:t>
            </w:r>
          </w:p>
        </w:tc>
        <w:tc>
          <w:tcPr>
            <w:tcW w:w="2179" w:type="dxa"/>
            <w:tcBorders>
              <w:top w:val="single" w:sz="2" w:space="0" w:color="000000"/>
              <w:left w:val="single" w:sz="2" w:space="0" w:color="000000"/>
              <w:bottom w:val="single" w:sz="2" w:space="0" w:color="000000"/>
              <w:right w:val="single" w:sz="2" w:space="0" w:color="000000"/>
            </w:tcBorders>
            <w:hideMark/>
          </w:tcPr>
          <w:p w14:paraId="77EDAD3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149,274</w:t>
            </w:r>
          </w:p>
        </w:tc>
        <w:tc>
          <w:tcPr>
            <w:tcW w:w="733" w:type="dxa"/>
            <w:tcBorders>
              <w:top w:val="single" w:sz="2" w:space="0" w:color="000000"/>
              <w:left w:val="single" w:sz="2" w:space="0" w:color="000000"/>
              <w:bottom w:val="single" w:sz="2" w:space="0" w:color="000000"/>
              <w:right w:val="single" w:sz="2" w:space="0" w:color="000000"/>
            </w:tcBorders>
            <w:hideMark/>
          </w:tcPr>
          <w:p w14:paraId="741BD3B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0.6</w:t>
            </w:r>
          </w:p>
        </w:tc>
      </w:tr>
    </w:tbl>
    <w:p w14:paraId="025408A2" w14:textId="02BAA25A" w:rsidR="009832C0" w:rsidRPr="00CD2F5C" w:rsidRDefault="009832C0" w:rsidP="002B0F75">
      <w:pPr>
        <w:spacing w:after="0" w:line="360" w:lineRule="auto"/>
        <w:rPr>
          <w:rFonts w:ascii="Cambria" w:hAnsi="Cambria"/>
          <w:sz w:val="24"/>
          <w:szCs w:val="24"/>
        </w:rPr>
      </w:pPr>
      <w:r w:rsidRPr="00CD2F5C">
        <w:rPr>
          <w:rFonts w:ascii="Cambria" w:hAnsi="Cambria"/>
          <w:sz w:val="24"/>
          <w:szCs w:val="24"/>
          <w:vertAlign w:val="superscript"/>
        </w:rPr>
        <w:t>a</w:t>
      </w:r>
      <w:r w:rsidRPr="00CD2F5C">
        <w:rPr>
          <w:rFonts w:ascii="Cambria" w:hAnsi="Cambria"/>
          <w:sz w:val="24"/>
          <w:szCs w:val="24"/>
        </w:rPr>
        <w:t xml:space="preserve"> Census datasets sourced from the Register Office and Office for National Statistics; National Records of Scotland; Northern Ireland Statistics and Research Agency</w:t>
      </w:r>
      <w:r w:rsidR="002311F6">
        <w:rPr>
          <w:rFonts w:ascii="Cambria" w:hAnsi="Cambria"/>
          <w:sz w:val="24"/>
          <w:szCs w:val="24"/>
        </w:rPr>
        <w:t xml:space="preserve"> (ONS 2016)</w:t>
      </w:r>
      <w:r w:rsidR="002311F6" w:rsidRPr="00CD2F5C">
        <w:rPr>
          <w:rFonts w:ascii="Cambria" w:hAnsi="Cambria"/>
          <w:sz w:val="24"/>
          <w:szCs w:val="24"/>
        </w:rPr>
        <w:t>.</w:t>
      </w:r>
      <w:r w:rsidR="002311F6">
        <w:rPr>
          <w:rFonts w:ascii="Cambria" w:hAnsi="Cambria"/>
          <w:sz w:val="24"/>
          <w:szCs w:val="24"/>
        </w:rPr>
        <w:t xml:space="preserve"> </w:t>
      </w:r>
    </w:p>
    <w:p w14:paraId="6CDBEF70" w14:textId="77777777" w:rsidR="009832C0" w:rsidRPr="00CD2F5C" w:rsidRDefault="009832C0" w:rsidP="002B0F75">
      <w:pPr>
        <w:spacing w:after="0" w:line="360" w:lineRule="auto"/>
        <w:rPr>
          <w:rFonts w:ascii="Cambria" w:hAnsi="Cambria"/>
          <w:sz w:val="24"/>
          <w:szCs w:val="24"/>
        </w:rPr>
      </w:pPr>
      <w:r w:rsidRPr="00CD2F5C">
        <w:rPr>
          <w:rFonts w:ascii="Cambria" w:hAnsi="Cambria"/>
          <w:sz w:val="24"/>
          <w:szCs w:val="24"/>
          <w:vertAlign w:val="superscript"/>
        </w:rPr>
        <w:t>b</w:t>
      </w:r>
      <w:r w:rsidRPr="00CD2F5C">
        <w:rPr>
          <w:rFonts w:ascii="Cambria" w:hAnsi="Cambria"/>
          <w:sz w:val="24"/>
          <w:szCs w:val="24"/>
        </w:rPr>
        <w:t xml:space="preserve"> Excludes 2,778 UK Biobank participants aged 40–69 years who were missing data on ethnicity or responded “prefer not to answer” or “do not know.” </w:t>
      </w:r>
    </w:p>
    <w:p w14:paraId="4C7D8B8F" w14:textId="77777777" w:rsidR="009832C0" w:rsidRPr="00CD2F5C" w:rsidRDefault="009832C0" w:rsidP="002B0F75">
      <w:pPr>
        <w:spacing w:after="0" w:line="360" w:lineRule="auto"/>
        <w:rPr>
          <w:rFonts w:ascii="Cambria" w:hAnsi="Cambria"/>
          <w:sz w:val="24"/>
          <w:szCs w:val="24"/>
        </w:rPr>
      </w:pPr>
      <w:r w:rsidRPr="00CD2F5C">
        <w:rPr>
          <w:rFonts w:ascii="Cambria" w:hAnsi="Cambria"/>
          <w:sz w:val="24"/>
          <w:szCs w:val="24"/>
          <w:vertAlign w:val="superscript"/>
        </w:rPr>
        <w:t>c</w:t>
      </w:r>
      <w:r w:rsidRPr="00CD2F5C">
        <w:rPr>
          <w:rFonts w:ascii="Cambria" w:hAnsi="Cambria"/>
          <w:sz w:val="24"/>
          <w:szCs w:val="24"/>
        </w:rPr>
        <w:t xml:space="preserve"> Included white British, white Irish, and other white backgrounds. </w:t>
      </w:r>
    </w:p>
    <w:p w14:paraId="075FBEB3" w14:textId="77777777" w:rsidR="009832C0" w:rsidRPr="00CD2F5C" w:rsidRDefault="009832C0" w:rsidP="002B0F75">
      <w:pPr>
        <w:spacing w:after="0" w:line="360" w:lineRule="auto"/>
        <w:rPr>
          <w:rFonts w:ascii="Cambria" w:hAnsi="Cambria"/>
          <w:sz w:val="24"/>
          <w:szCs w:val="24"/>
        </w:rPr>
      </w:pPr>
      <w:r w:rsidRPr="00CD2F5C">
        <w:rPr>
          <w:rFonts w:ascii="Cambria" w:hAnsi="Cambria"/>
          <w:sz w:val="24"/>
          <w:szCs w:val="24"/>
          <w:vertAlign w:val="superscript"/>
        </w:rPr>
        <w:t>d</w:t>
      </w:r>
      <w:r w:rsidRPr="00CD2F5C">
        <w:rPr>
          <w:rFonts w:ascii="Cambria" w:hAnsi="Cambria"/>
          <w:sz w:val="24"/>
          <w:szCs w:val="24"/>
        </w:rPr>
        <w:t xml:space="preserve"> Included Caribbean, African, and other black background. </w:t>
      </w:r>
    </w:p>
    <w:p w14:paraId="7F239305" w14:textId="77777777" w:rsidR="009832C0" w:rsidRPr="00CD2F5C" w:rsidRDefault="009832C0" w:rsidP="002B0F75">
      <w:pPr>
        <w:spacing w:after="0" w:line="360" w:lineRule="auto"/>
        <w:rPr>
          <w:rFonts w:ascii="Cambria" w:hAnsi="Cambria"/>
          <w:sz w:val="24"/>
          <w:szCs w:val="24"/>
        </w:rPr>
      </w:pPr>
      <w:r w:rsidRPr="00CD2F5C">
        <w:rPr>
          <w:rFonts w:ascii="Cambria" w:hAnsi="Cambria"/>
          <w:sz w:val="24"/>
          <w:szCs w:val="24"/>
          <w:vertAlign w:val="superscript"/>
        </w:rPr>
        <w:t>e</w:t>
      </w:r>
      <w:r w:rsidRPr="00CD2F5C">
        <w:rPr>
          <w:rFonts w:ascii="Cambria" w:hAnsi="Cambria"/>
          <w:sz w:val="24"/>
          <w:szCs w:val="24"/>
        </w:rPr>
        <w:t xml:space="preserve"> Included white and black Caribbean, white and black African, white and Asian, and other mixed ethnic backgrounds.</w:t>
      </w:r>
    </w:p>
    <w:p w14:paraId="12CC1749" w14:textId="77777777" w:rsidR="009832C0" w:rsidRPr="00CD2F5C" w:rsidRDefault="009832C0" w:rsidP="002B0F75">
      <w:pPr>
        <w:spacing w:after="0" w:line="360" w:lineRule="auto"/>
        <w:rPr>
          <w:rFonts w:ascii="Cambria" w:hAnsi="Cambria"/>
          <w:sz w:val="24"/>
          <w:szCs w:val="24"/>
        </w:rPr>
      </w:pPr>
    </w:p>
    <w:p w14:paraId="3AA617B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Thus, the final total number of cases available for the initial analysis was 24,164. In this sample, 61% reported female and 39% male. For the second objective, only n = 2007 individuals had records of CRP testing along with the initial inclusion criteria, so the sample size is considerably lower in comparison to the analysis for the first objective. In this second sample, 55% reported female and 45% male. For the simplified final CRP model to assess socioeconomics, five records were missing, making the total 2002 cases.</w:t>
      </w:r>
    </w:p>
    <w:p w14:paraId="10E8E3A2"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 xml:space="preserve">Poisson regression results </w:t>
      </w:r>
    </w:p>
    <w:p w14:paraId="51718602" w14:textId="77777777" w:rsidR="009832C0" w:rsidRPr="00CD2F5C" w:rsidRDefault="009832C0" w:rsidP="002B0F75">
      <w:pPr>
        <w:spacing w:line="360" w:lineRule="auto"/>
        <w:rPr>
          <w:rFonts w:ascii="Cambria" w:hAnsi="Cambria"/>
          <w:b/>
          <w:sz w:val="24"/>
          <w:szCs w:val="24"/>
        </w:rPr>
      </w:pPr>
      <w:r w:rsidRPr="00CD2F5C">
        <w:rPr>
          <w:rFonts w:ascii="Cambria" w:hAnsi="Cambria"/>
          <w:i/>
          <w:sz w:val="24"/>
          <w:szCs w:val="24"/>
        </w:rPr>
        <w:t>Objective 1</w:t>
      </w:r>
    </w:p>
    <w:p w14:paraId="0B2ED17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theoretical assumptions of the Poisson regression model were met, and the practical assumption of variance and mean being equals were also met (variance: 2.15, mean: 2.04). Stepwise regression was then used to select the best fitting model (i.e., the combination of variables and interactions that better explain the dependent variable [Reports of Pain]). The anxiety variable with the most influence on reported pain was the presence of muscular symptoms related to anxiety, followed by having informed a professional about their anxiety, and then the amount of trouble relaxing reported. With regard to ACE variables, the variable with the most influence was the frequency of physical abuse, </w:t>
      </w:r>
      <w:r w:rsidRPr="00CD2F5C">
        <w:rPr>
          <w:rFonts w:ascii="Cambria" w:hAnsi="Cambria"/>
          <w:sz w:val="24"/>
          <w:szCs w:val="24"/>
        </w:rPr>
        <w:lastRenderedPageBreak/>
        <w:t>followed by the frequency with which the person felt loved as a child. The remaining childhood trauma variables did not show a significant effect on reported pain. The full results are reported in Appendix Table S2.</w:t>
      </w:r>
    </w:p>
    <w:p w14:paraId="1E27B5A7" w14:textId="77777777" w:rsidR="009832C0" w:rsidRPr="00CD2F5C" w:rsidRDefault="009832C0" w:rsidP="002B0F75">
      <w:pPr>
        <w:spacing w:line="360" w:lineRule="auto"/>
        <w:rPr>
          <w:rFonts w:ascii="Cambria" w:hAnsi="Cambria"/>
          <w:i/>
          <w:sz w:val="24"/>
          <w:szCs w:val="24"/>
        </w:rPr>
      </w:pPr>
      <w:r w:rsidRPr="00CD2F5C">
        <w:rPr>
          <w:rFonts w:ascii="Cambria" w:hAnsi="Cambria"/>
          <w:i/>
          <w:sz w:val="24"/>
          <w:szCs w:val="24"/>
        </w:rPr>
        <w:t>Objective 2</w:t>
      </w:r>
    </w:p>
    <w:p w14:paraId="74708A3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All associations examined for the secondary analysis are displayed in the heat map correlation matrix (Fig. 1). In brief, the strongest correlation was between CRP and the number of times pain was reported over the years (</w:t>
      </w:r>
      <w:r w:rsidRPr="00CD2F5C">
        <w:rPr>
          <w:rFonts w:ascii="Cambria" w:hAnsi="Cambria"/>
          <w:i/>
          <w:sz w:val="24"/>
          <w:szCs w:val="24"/>
        </w:rPr>
        <w:t>p</w:t>
      </w:r>
      <w:r w:rsidRPr="00CD2F5C">
        <w:rPr>
          <w:rFonts w:ascii="Cambria" w:hAnsi="Cambria"/>
          <w:sz w:val="24"/>
          <w:szCs w:val="24"/>
        </w:rPr>
        <w:t xml:space="preserve"> = 0.01), followed by CRP and the reported frequency of sexual abuse in childhood (</w:t>
      </w:r>
      <w:r w:rsidRPr="00CD2F5C">
        <w:rPr>
          <w:rFonts w:ascii="Cambria" w:hAnsi="Cambria"/>
          <w:i/>
          <w:sz w:val="24"/>
          <w:szCs w:val="24"/>
        </w:rPr>
        <w:t>p</w:t>
      </w:r>
      <w:r w:rsidRPr="00CD2F5C">
        <w:rPr>
          <w:rFonts w:ascii="Cambria" w:hAnsi="Cambria"/>
          <w:sz w:val="24"/>
          <w:szCs w:val="24"/>
        </w:rPr>
        <w:t xml:space="preserve"> = 0.05).</w:t>
      </w:r>
    </w:p>
    <w:p w14:paraId="1C72D21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Additionally, Poisson regression models were conducted with the smaller sample for which CRP levels were available to assess the potential pathways of any relationships between the three concepts of interest and chronic pain as the outcome variable. These results are shown in Table 3. Of note, there was an important interaction between informing a professional about anxiety and CRP in predicting pain. Childhood abuse also interacts significantly with CRP to predict pain.</w:t>
      </w:r>
    </w:p>
    <w:p w14:paraId="7BF3B20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To further break down, contextualize, and examine the results of the Poisson regression more clearly, variable regression plots were conducted. These studies investigated each individual relationship, isolating it and plotting what it looked like when all the other variables were held constant. All significant effects and interactions pertaining to CRP were included, and the results are categorized as interactions and 3-way interactions. Individual effects of anxiety and ACEs were also assessed via partial regression plots (Appendix Figure S4).</w:t>
      </w:r>
    </w:p>
    <w:p w14:paraId="4F0163F3"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Figure 1.  </w:t>
      </w:r>
      <w:r w:rsidRPr="00CD2F5C">
        <w:rPr>
          <w:rFonts w:ascii="Cambria" w:hAnsi="Cambria"/>
          <w:sz w:val="24"/>
          <w:szCs w:val="24"/>
        </w:rPr>
        <w:t>Heatmap of associations* between variables of interest and CRP. CRP, C-reactive protein.</w:t>
      </w:r>
    </w:p>
    <w:p w14:paraId="03643E1E"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lastRenderedPageBreak/>
        <w:drawing>
          <wp:inline distT="0" distB="0" distL="0" distR="0" wp14:anchorId="0DF74A14" wp14:editId="62E1A3A6">
            <wp:extent cx="3598545" cy="3310890"/>
            <wp:effectExtent l="0" t="0" r="1905" b="3810"/>
            <wp:docPr id="7123202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98545" cy="3310890"/>
                    </a:xfrm>
                    <a:prstGeom prst="rect">
                      <a:avLst/>
                    </a:prstGeom>
                    <a:noFill/>
                    <a:ln>
                      <a:noFill/>
                    </a:ln>
                  </pic:spPr>
                </pic:pic>
              </a:graphicData>
            </a:graphic>
          </wp:inline>
        </w:drawing>
      </w:r>
    </w:p>
    <w:p w14:paraId="37AFBA66" w14:textId="207B86F3"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*X marks associations that were not statistically significant. In the shaded rows, each cell is shaded blue or red depending on the sign of the correlation, and with the intensity of </w:t>
      </w:r>
      <w:r w:rsidR="002311F6" w:rsidRPr="00CD2F5C">
        <w:rPr>
          <w:rFonts w:ascii="Cambria" w:hAnsi="Cambria"/>
          <w:sz w:val="24"/>
          <w:szCs w:val="24"/>
        </w:rPr>
        <w:t>colour</w:t>
      </w:r>
      <w:r w:rsidRPr="00CD2F5C">
        <w:rPr>
          <w:rFonts w:ascii="Cambria" w:hAnsi="Cambria"/>
          <w:sz w:val="24"/>
          <w:szCs w:val="24"/>
        </w:rPr>
        <w:t xml:space="preserve"> scaled 0–100% in proportion to the magnitude of the correlation (standard coding from red, [1, 0, 0], through white [1, 1, 1], to blue [0, 0, 1]. This bipolar scale of </w:t>
      </w:r>
      <w:r w:rsidR="002311F6" w:rsidRPr="00CD2F5C">
        <w:rPr>
          <w:rFonts w:ascii="Cambria" w:hAnsi="Cambria"/>
          <w:sz w:val="24"/>
          <w:szCs w:val="24"/>
        </w:rPr>
        <w:t>colour</w:t>
      </w:r>
      <w:r w:rsidRPr="00CD2F5C">
        <w:rPr>
          <w:rFonts w:ascii="Cambria" w:hAnsi="Cambria"/>
          <w:sz w:val="24"/>
          <w:szCs w:val="24"/>
        </w:rPr>
        <w:t xml:space="preserve"> leaves correlations near 0 empty (white) and makes positive and negative values of equal magnitude approximately equally intensely shaded.</w:t>
      </w:r>
    </w:p>
    <w:p w14:paraId="6B8EA90D"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Table 3.  </w:t>
      </w:r>
      <w:r w:rsidRPr="00CD2F5C">
        <w:rPr>
          <w:rFonts w:ascii="Cambria" w:hAnsi="Cambria"/>
          <w:sz w:val="24"/>
          <w:szCs w:val="24"/>
        </w:rPr>
        <w:t xml:space="preserve">Poisson model: secondary objective (with CRP as the predictor of chronic pain). </w:t>
      </w:r>
    </w:p>
    <w:tbl>
      <w:tblPr>
        <w:tblW w:w="9066" w:type="dxa"/>
        <w:tblCellMar>
          <w:top w:w="8" w:type="dxa"/>
          <w:left w:w="58" w:type="dxa"/>
          <w:right w:w="115" w:type="dxa"/>
        </w:tblCellMar>
        <w:tblLook w:val="04A0" w:firstRow="1" w:lastRow="0" w:firstColumn="1" w:lastColumn="0" w:noHBand="0" w:noVBand="1"/>
      </w:tblPr>
      <w:tblGrid>
        <w:gridCol w:w="4712"/>
        <w:gridCol w:w="1143"/>
        <w:gridCol w:w="1166"/>
        <w:gridCol w:w="1035"/>
        <w:gridCol w:w="1010"/>
      </w:tblGrid>
      <w:tr w:rsidR="009832C0" w:rsidRPr="00CD2F5C" w14:paraId="1FE72A35"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shd w:val="clear" w:color="auto" w:fill="A7A9AC"/>
            <w:hideMark/>
          </w:tcPr>
          <w:p w14:paraId="5AF85B4C"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Variable</w:t>
            </w:r>
          </w:p>
        </w:tc>
        <w:tc>
          <w:tcPr>
            <w:tcW w:w="1105" w:type="dxa"/>
            <w:tcBorders>
              <w:top w:val="single" w:sz="2" w:space="0" w:color="000000"/>
              <w:left w:val="single" w:sz="2" w:space="0" w:color="000000"/>
              <w:bottom w:val="single" w:sz="2" w:space="0" w:color="000000"/>
              <w:right w:val="single" w:sz="2" w:space="0" w:color="000000"/>
            </w:tcBorders>
            <w:shd w:val="clear" w:color="auto" w:fill="A7A9AC"/>
            <w:hideMark/>
          </w:tcPr>
          <w:p w14:paraId="04D34AF4"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Estimate</w:t>
            </w:r>
          </w:p>
        </w:tc>
        <w:tc>
          <w:tcPr>
            <w:tcW w:w="1170" w:type="dxa"/>
            <w:tcBorders>
              <w:top w:val="single" w:sz="2" w:space="0" w:color="000000"/>
              <w:left w:val="single" w:sz="2" w:space="0" w:color="000000"/>
              <w:bottom w:val="single" w:sz="2" w:space="0" w:color="000000"/>
              <w:right w:val="single" w:sz="2" w:space="0" w:color="000000"/>
            </w:tcBorders>
            <w:shd w:val="clear" w:color="auto" w:fill="A7A9AC"/>
            <w:hideMark/>
          </w:tcPr>
          <w:p w14:paraId="38EF2C09"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Std. error</w:t>
            </w:r>
          </w:p>
        </w:tc>
        <w:tc>
          <w:tcPr>
            <w:tcW w:w="1037" w:type="dxa"/>
            <w:tcBorders>
              <w:top w:val="single" w:sz="2" w:space="0" w:color="000000"/>
              <w:left w:val="single" w:sz="2" w:space="0" w:color="000000"/>
              <w:bottom w:val="single" w:sz="2" w:space="0" w:color="000000"/>
              <w:right w:val="single" w:sz="2" w:space="0" w:color="000000"/>
            </w:tcBorders>
            <w:shd w:val="clear" w:color="auto" w:fill="A7A9AC"/>
            <w:hideMark/>
          </w:tcPr>
          <w:p w14:paraId="4A79345A"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z-value</w:t>
            </w:r>
          </w:p>
        </w:tc>
        <w:tc>
          <w:tcPr>
            <w:tcW w:w="1012" w:type="dxa"/>
            <w:tcBorders>
              <w:top w:val="single" w:sz="2" w:space="0" w:color="000000"/>
              <w:left w:val="single" w:sz="2" w:space="0" w:color="000000"/>
              <w:bottom w:val="single" w:sz="2" w:space="0" w:color="000000"/>
              <w:right w:val="single" w:sz="2" w:space="0" w:color="000000"/>
            </w:tcBorders>
            <w:shd w:val="clear" w:color="auto" w:fill="A7A9AC"/>
            <w:hideMark/>
          </w:tcPr>
          <w:p w14:paraId="26DA4DCB" w14:textId="77777777" w:rsidR="009832C0" w:rsidRPr="00CD2F5C" w:rsidRDefault="009832C0" w:rsidP="002B0F75">
            <w:pPr>
              <w:spacing w:line="360" w:lineRule="auto"/>
              <w:rPr>
                <w:rFonts w:ascii="Cambria" w:hAnsi="Cambria"/>
                <w:sz w:val="24"/>
                <w:szCs w:val="24"/>
              </w:rPr>
            </w:pPr>
            <w:r w:rsidRPr="00CD2F5C">
              <w:rPr>
                <w:rFonts w:ascii="Cambria" w:hAnsi="Cambria"/>
                <w:b/>
                <w:i/>
                <w:sz w:val="24"/>
                <w:szCs w:val="24"/>
              </w:rPr>
              <w:t>P</w:t>
            </w:r>
            <w:r w:rsidRPr="00CD2F5C">
              <w:rPr>
                <w:rFonts w:ascii="Cambria" w:hAnsi="Cambria"/>
                <w:b/>
                <w:sz w:val="24"/>
                <w:szCs w:val="24"/>
              </w:rPr>
              <w:t>-value</w:t>
            </w:r>
          </w:p>
        </w:tc>
      </w:tr>
      <w:tr w:rsidR="009832C0" w:rsidRPr="00CD2F5C" w14:paraId="3094D751"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024AF55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(Constant)</w:t>
            </w:r>
          </w:p>
        </w:tc>
        <w:tc>
          <w:tcPr>
            <w:tcW w:w="1105" w:type="dxa"/>
            <w:tcBorders>
              <w:top w:val="single" w:sz="2" w:space="0" w:color="000000"/>
              <w:left w:val="single" w:sz="2" w:space="0" w:color="000000"/>
              <w:bottom w:val="single" w:sz="2" w:space="0" w:color="000000"/>
              <w:right w:val="single" w:sz="2" w:space="0" w:color="000000"/>
            </w:tcBorders>
            <w:hideMark/>
          </w:tcPr>
          <w:p w14:paraId="10B2EC6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0.807</w:t>
            </w:r>
          </w:p>
        </w:tc>
        <w:tc>
          <w:tcPr>
            <w:tcW w:w="1170" w:type="dxa"/>
            <w:tcBorders>
              <w:top w:val="single" w:sz="2" w:space="0" w:color="000000"/>
              <w:left w:val="single" w:sz="2" w:space="0" w:color="000000"/>
              <w:bottom w:val="single" w:sz="2" w:space="0" w:color="000000"/>
              <w:right w:val="single" w:sz="2" w:space="0" w:color="000000"/>
            </w:tcBorders>
            <w:hideMark/>
          </w:tcPr>
          <w:p w14:paraId="3B236D6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0.093</w:t>
            </w:r>
          </w:p>
        </w:tc>
        <w:tc>
          <w:tcPr>
            <w:tcW w:w="1037" w:type="dxa"/>
            <w:tcBorders>
              <w:top w:val="single" w:sz="2" w:space="0" w:color="000000"/>
              <w:left w:val="single" w:sz="2" w:space="0" w:color="000000"/>
              <w:bottom w:val="single" w:sz="2" w:space="0" w:color="000000"/>
              <w:right w:val="single" w:sz="2" w:space="0" w:color="000000"/>
            </w:tcBorders>
            <w:hideMark/>
          </w:tcPr>
          <w:p w14:paraId="592803C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8.659</w:t>
            </w:r>
          </w:p>
        </w:tc>
        <w:tc>
          <w:tcPr>
            <w:tcW w:w="1012" w:type="dxa"/>
            <w:tcBorders>
              <w:top w:val="single" w:sz="2" w:space="0" w:color="000000"/>
              <w:left w:val="single" w:sz="2" w:space="0" w:color="000000"/>
              <w:bottom w:val="single" w:sz="2" w:space="0" w:color="000000"/>
              <w:right w:val="single" w:sz="2" w:space="0" w:color="000000"/>
            </w:tcBorders>
            <w:hideMark/>
          </w:tcPr>
          <w:p w14:paraId="6F266F9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 &lt; 2e−16</w:t>
            </w:r>
          </w:p>
        </w:tc>
      </w:tr>
      <w:tr w:rsidR="009832C0" w:rsidRPr="00CD2F5C" w14:paraId="1935A22E"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59150CE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Felt Hated as a child (Likert)</w:t>
            </w:r>
          </w:p>
        </w:tc>
        <w:tc>
          <w:tcPr>
            <w:tcW w:w="1105" w:type="dxa"/>
            <w:tcBorders>
              <w:top w:val="single" w:sz="2" w:space="0" w:color="000000"/>
              <w:left w:val="single" w:sz="2" w:space="0" w:color="000000"/>
              <w:bottom w:val="single" w:sz="2" w:space="0" w:color="000000"/>
              <w:right w:val="single" w:sz="2" w:space="0" w:color="000000"/>
            </w:tcBorders>
            <w:hideMark/>
          </w:tcPr>
          <w:p w14:paraId="179BCE0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0.071</w:t>
            </w:r>
          </w:p>
        </w:tc>
        <w:tc>
          <w:tcPr>
            <w:tcW w:w="1170" w:type="dxa"/>
            <w:tcBorders>
              <w:top w:val="single" w:sz="2" w:space="0" w:color="000000"/>
              <w:left w:val="single" w:sz="2" w:space="0" w:color="000000"/>
              <w:bottom w:val="single" w:sz="2" w:space="0" w:color="000000"/>
              <w:right w:val="single" w:sz="2" w:space="0" w:color="000000"/>
            </w:tcBorders>
            <w:hideMark/>
          </w:tcPr>
          <w:p w14:paraId="4F3BEEE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0.033</w:t>
            </w:r>
          </w:p>
        </w:tc>
        <w:tc>
          <w:tcPr>
            <w:tcW w:w="1037" w:type="dxa"/>
            <w:tcBorders>
              <w:top w:val="single" w:sz="2" w:space="0" w:color="000000"/>
              <w:left w:val="single" w:sz="2" w:space="0" w:color="000000"/>
              <w:bottom w:val="single" w:sz="2" w:space="0" w:color="000000"/>
              <w:right w:val="single" w:sz="2" w:space="0" w:color="000000"/>
            </w:tcBorders>
            <w:hideMark/>
          </w:tcPr>
          <w:p w14:paraId="4948361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2.158</w:t>
            </w:r>
          </w:p>
        </w:tc>
        <w:tc>
          <w:tcPr>
            <w:tcW w:w="1012" w:type="dxa"/>
            <w:tcBorders>
              <w:top w:val="single" w:sz="2" w:space="0" w:color="000000"/>
              <w:left w:val="single" w:sz="2" w:space="0" w:color="000000"/>
              <w:bottom w:val="single" w:sz="2" w:space="0" w:color="000000"/>
              <w:right w:val="single" w:sz="2" w:space="0" w:color="000000"/>
            </w:tcBorders>
            <w:hideMark/>
          </w:tcPr>
          <w:p w14:paraId="72509A20"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0.031</w:t>
            </w:r>
          </w:p>
        </w:tc>
      </w:tr>
      <w:tr w:rsidR="009832C0" w:rsidRPr="00CD2F5C" w14:paraId="03565EC5"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399B8F8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Physically Abused as a child (Likert)</w:t>
            </w:r>
          </w:p>
        </w:tc>
        <w:tc>
          <w:tcPr>
            <w:tcW w:w="1105" w:type="dxa"/>
            <w:tcBorders>
              <w:top w:val="single" w:sz="2" w:space="0" w:color="000000"/>
              <w:left w:val="single" w:sz="2" w:space="0" w:color="000000"/>
              <w:bottom w:val="single" w:sz="2" w:space="0" w:color="000000"/>
              <w:right w:val="single" w:sz="2" w:space="0" w:color="000000"/>
            </w:tcBorders>
            <w:hideMark/>
          </w:tcPr>
          <w:p w14:paraId="1FDF3A6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0.100</w:t>
            </w:r>
          </w:p>
        </w:tc>
        <w:tc>
          <w:tcPr>
            <w:tcW w:w="1170" w:type="dxa"/>
            <w:tcBorders>
              <w:top w:val="single" w:sz="2" w:space="0" w:color="000000"/>
              <w:left w:val="single" w:sz="2" w:space="0" w:color="000000"/>
              <w:bottom w:val="single" w:sz="2" w:space="0" w:color="000000"/>
              <w:right w:val="single" w:sz="2" w:space="0" w:color="000000"/>
            </w:tcBorders>
            <w:hideMark/>
          </w:tcPr>
          <w:p w14:paraId="51D0C9B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0.023</w:t>
            </w:r>
          </w:p>
        </w:tc>
        <w:tc>
          <w:tcPr>
            <w:tcW w:w="1037" w:type="dxa"/>
            <w:tcBorders>
              <w:top w:val="single" w:sz="2" w:space="0" w:color="000000"/>
              <w:left w:val="single" w:sz="2" w:space="0" w:color="000000"/>
              <w:bottom w:val="single" w:sz="2" w:space="0" w:color="000000"/>
              <w:right w:val="single" w:sz="2" w:space="0" w:color="000000"/>
            </w:tcBorders>
            <w:hideMark/>
          </w:tcPr>
          <w:p w14:paraId="51D6C60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4.351</w:t>
            </w:r>
          </w:p>
        </w:tc>
        <w:tc>
          <w:tcPr>
            <w:tcW w:w="1012" w:type="dxa"/>
            <w:tcBorders>
              <w:top w:val="single" w:sz="2" w:space="0" w:color="000000"/>
              <w:left w:val="single" w:sz="2" w:space="0" w:color="000000"/>
              <w:bottom w:val="single" w:sz="2" w:space="0" w:color="000000"/>
              <w:right w:val="single" w:sz="2" w:space="0" w:color="000000"/>
            </w:tcBorders>
            <w:hideMark/>
          </w:tcPr>
          <w:p w14:paraId="3777A088"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 &lt; 0.001</w:t>
            </w:r>
          </w:p>
        </w:tc>
      </w:tr>
      <w:tr w:rsidR="009832C0" w:rsidRPr="00CD2F5C" w14:paraId="5DEF68A8"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237E6B7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Sexually Abused as a child (Likert)</w:t>
            </w:r>
          </w:p>
        </w:tc>
        <w:tc>
          <w:tcPr>
            <w:tcW w:w="1105" w:type="dxa"/>
            <w:tcBorders>
              <w:top w:val="single" w:sz="2" w:space="0" w:color="000000"/>
              <w:left w:val="single" w:sz="2" w:space="0" w:color="000000"/>
              <w:bottom w:val="single" w:sz="2" w:space="0" w:color="000000"/>
              <w:right w:val="single" w:sz="2" w:space="0" w:color="000000"/>
            </w:tcBorders>
            <w:hideMark/>
          </w:tcPr>
          <w:p w14:paraId="43EE253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0.118</w:t>
            </w:r>
          </w:p>
        </w:tc>
        <w:tc>
          <w:tcPr>
            <w:tcW w:w="1170" w:type="dxa"/>
            <w:tcBorders>
              <w:top w:val="single" w:sz="2" w:space="0" w:color="000000"/>
              <w:left w:val="single" w:sz="2" w:space="0" w:color="000000"/>
              <w:bottom w:val="single" w:sz="2" w:space="0" w:color="000000"/>
              <w:right w:val="single" w:sz="2" w:space="0" w:color="000000"/>
            </w:tcBorders>
            <w:hideMark/>
          </w:tcPr>
          <w:p w14:paraId="2215F55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0.045</w:t>
            </w:r>
          </w:p>
        </w:tc>
        <w:tc>
          <w:tcPr>
            <w:tcW w:w="1037" w:type="dxa"/>
            <w:tcBorders>
              <w:top w:val="single" w:sz="2" w:space="0" w:color="000000"/>
              <w:left w:val="single" w:sz="2" w:space="0" w:color="000000"/>
              <w:bottom w:val="single" w:sz="2" w:space="0" w:color="000000"/>
              <w:right w:val="single" w:sz="2" w:space="0" w:color="000000"/>
            </w:tcBorders>
            <w:hideMark/>
          </w:tcPr>
          <w:p w14:paraId="3F72B07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2.621</w:t>
            </w:r>
          </w:p>
        </w:tc>
        <w:tc>
          <w:tcPr>
            <w:tcW w:w="1012" w:type="dxa"/>
            <w:tcBorders>
              <w:top w:val="single" w:sz="2" w:space="0" w:color="000000"/>
              <w:left w:val="single" w:sz="2" w:space="0" w:color="000000"/>
              <w:bottom w:val="single" w:sz="2" w:space="0" w:color="000000"/>
              <w:right w:val="single" w:sz="2" w:space="0" w:color="000000"/>
            </w:tcBorders>
            <w:hideMark/>
          </w:tcPr>
          <w:p w14:paraId="2DE8FAEF"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0.009</w:t>
            </w:r>
          </w:p>
        </w:tc>
      </w:tr>
      <w:tr w:rsidR="009832C0" w:rsidRPr="00CD2F5C" w14:paraId="4B2DEB9B"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448ED9F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Felt Loved as a child (Likert)</w:t>
            </w:r>
          </w:p>
        </w:tc>
        <w:tc>
          <w:tcPr>
            <w:tcW w:w="1105" w:type="dxa"/>
            <w:tcBorders>
              <w:top w:val="single" w:sz="2" w:space="0" w:color="000000"/>
              <w:left w:val="single" w:sz="2" w:space="0" w:color="000000"/>
              <w:bottom w:val="single" w:sz="2" w:space="0" w:color="000000"/>
              <w:right w:val="single" w:sz="2" w:space="0" w:color="000000"/>
            </w:tcBorders>
            <w:hideMark/>
          </w:tcPr>
          <w:p w14:paraId="374C7F8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− 0.011</w:t>
            </w:r>
          </w:p>
        </w:tc>
        <w:tc>
          <w:tcPr>
            <w:tcW w:w="1170" w:type="dxa"/>
            <w:tcBorders>
              <w:top w:val="single" w:sz="2" w:space="0" w:color="000000"/>
              <w:left w:val="single" w:sz="2" w:space="0" w:color="000000"/>
              <w:bottom w:val="single" w:sz="2" w:space="0" w:color="000000"/>
              <w:right w:val="single" w:sz="2" w:space="0" w:color="000000"/>
            </w:tcBorders>
            <w:hideMark/>
          </w:tcPr>
          <w:p w14:paraId="0CC5D4C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0.017</w:t>
            </w:r>
          </w:p>
        </w:tc>
        <w:tc>
          <w:tcPr>
            <w:tcW w:w="1037" w:type="dxa"/>
            <w:tcBorders>
              <w:top w:val="single" w:sz="2" w:space="0" w:color="000000"/>
              <w:left w:val="single" w:sz="2" w:space="0" w:color="000000"/>
              <w:bottom w:val="single" w:sz="2" w:space="0" w:color="000000"/>
              <w:right w:val="single" w:sz="2" w:space="0" w:color="000000"/>
            </w:tcBorders>
            <w:hideMark/>
          </w:tcPr>
          <w:p w14:paraId="1C80DBF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− 0.630</w:t>
            </w:r>
          </w:p>
        </w:tc>
        <w:tc>
          <w:tcPr>
            <w:tcW w:w="1012" w:type="dxa"/>
            <w:tcBorders>
              <w:top w:val="single" w:sz="2" w:space="0" w:color="000000"/>
              <w:left w:val="single" w:sz="2" w:space="0" w:color="000000"/>
              <w:bottom w:val="single" w:sz="2" w:space="0" w:color="000000"/>
              <w:right w:val="single" w:sz="2" w:space="0" w:color="000000"/>
            </w:tcBorders>
            <w:hideMark/>
          </w:tcPr>
          <w:p w14:paraId="16836E5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0.529</w:t>
            </w:r>
          </w:p>
        </w:tc>
      </w:tr>
      <w:tr w:rsidR="009832C0" w:rsidRPr="00CD2F5C" w14:paraId="75B15989"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3BB482E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Taken to Doctor if Needed as a child (Likert)</w:t>
            </w:r>
          </w:p>
        </w:tc>
        <w:tc>
          <w:tcPr>
            <w:tcW w:w="1105" w:type="dxa"/>
            <w:tcBorders>
              <w:top w:val="single" w:sz="2" w:space="0" w:color="000000"/>
              <w:left w:val="single" w:sz="2" w:space="0" w:color="000000"/>
              <w:bottom w:val="single" w:sz="2" w:space="0" w:color="000000"/>
              <w:right w:val="single" w:sz="2" w:space="0" w:color="000000"/>
            </w:tcBorders>
            <w:hideMark/>
          </w:tcPr>
          <w:p w14:paraId="170DEF5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− 0.040</w:t>
            </w:r>
          </w:p>
        </w:tc>
        <w:tc>
          <w:tcPr>
            <w:tcW w:w="1170" w:type="dxa"/>
            <w:tcBorders>
              <w:top w:val="single" w:sz="2" w:space="0" w:color="000000"/>
              <w:left w:val="single" w:sz="2" w:space="0" w:color="000000"/>
              <w:bottom w:val="single" w:sz="2" w:space="0" w:color="000000"/>
              <w:right w:val="single" w:sz="2" w:space="0" w:color="000000"/>
            </w:tcBorders>
            <w:hideMark/>
          </w:tcPr>
          <w:p w14:paraId="0CA2E0C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0.017</w:t>
            </w:r>
          </w:p>
        </w:tc>
        <w:tc>
          <w:tcPr>
            <w:tcW w:w="1037" w:type="dxa"/>
            <w:tcBorders>
              <w:top w:val="single" w:sz="2" w:space="0" w:color="000000"/>
              <w:left w:val="single" w:sz="2" w:space="0" w:color="000000"/>
              <w:bottom w:val="single" w:sz="2" w:space="0" w:color="000000"/>
              <w:right w:val="single" w:sz="2" w:space="0" w:color="000000"/>
            </w:tcBorders>
            <w:hideMark/>
          </w:tcPr>
          <w:p w14:paraId="5F94F5E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− 2.320</w:t>
            </w:r>
          </w:p>
        </w:tc>
        <w:tc>
          <w:tcPr>
            <w:tcW w:w="1012" w:type="dxa"/>
            <w:tcBorders>
              <w:top w:val="single" w:sz="2" w:space="0" w:color="000000"/>
              <w:left w:val="single" w:sz="2" w:space="0" w:color="000000"/>
              <w:bottom w:val="single" w:sz="2" w:space="0" w:color="000000"/>
              <w:right w:val="single" w:sz="2" w:space="0" w:color="000000"/>
            </w:tcBorders>
            <w:hideMark/>
          </w:tcPr>
          <w:p w14:paraId="70AB4635"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0.020</w:t>
            </w:r>
          </w:p>
        </w:tc>
      </w:tr>
      <w:tr w:rsidR="009832C0" w:rsidRPr="00CD2F5C" w14:paraId="26B6F5D7"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2FC4C76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Has informed a professional about anxiety episodes</w:t>
            </w:r>
          </w:p>
        </w:tc>
        <w:tc>
          <w:tcPr>
            <w:tcW w:w="1105" w:type="dxa"/>
            <w:tcBorders>
              <w:top w:val="single" w:sz="2" w:space="0" w:color="000000"/>
              <w:left w:val="single" w:sz="2" w:space="0" w:color="000000"/>
              <w:bottom w:val="single" w:sz="2" w:space="0" w:color="000000"/>
              <w:right w:val="single" w:sz="2" w:space="0" w:color="000000"/>
            </w:tcBorders>
          </w:tcPr>
          <w:p w14:paraId="2B223374" w14:textId="77777777" w:rsidR="009832C0" w:rsidRPr="00CD2F5C" w:rsidRDefault="009832C0" w:rsidP="002B0F75">
            <w:pPr>
              <w:spacing w:line="360" w:lineRule="auto"/>
              <w:rPr>
                <w:rFonts w:ascii="Cambria" w:hAnsi="Cambria"/>
                <w:sz w:val="24"/>
                <w:szCs w:val="24"/>
              </w:rPr>
            </w:pPr>
          </w:p>
        </w:tc>
        <w:tc>
          <w:tcPr>
            <w:tcW w:w="1170" w:type="dxa"/>
            <w:tcBorders>
              <w:top w:val="single" w:sz="2" w:space="0" w:color="000000"/>
              <w:left w:val="single" w:sz="2" w:space="0" w:color="000000"/>
              <w:bottom w:val="single" w:sz="2" w:space="0" w:color="000000"/>
              <w:right w:val="single" w:sz="2" w:space="0" w:color="000000"/>
            </w:tcBorders>
          </w:tcPr>
          <w:p w14:paraId="5A1CA0BC" w14:textId="77777777" w:rsidR="009832C0" w:rsidRPr="00CD2F5C" w:rsidRDefault="009832C0" w:rsidP="002B0F75">
            <w:pPr>
              <w:spacing w:line="360" w:lineRule="auto"/>
              <w:rPr>
                <w:rFonts w:ascii="Cambria" w:hAnsi="Cambria"/>
                <w:sz w:val="24"/>
                <w:szCs w:val="24"/>
              </w:rPr>
            </w:pPr>
          </w:p>
        </w:tc>
        <w:tc>
          <w:tcPr>
            <w:tcW w:w="1037" w:type="dxa"/>
            <w:tcBorders>
              <w:top w:val="single" w:sz="2" w:space="0" w:color="000000"/>
              <w:left w:val="single" w:sz="2" w:space="0" w:color="000000"/>
              <w:bottom w:val="single" w:sz="2" w:space="0" w:color="000000"/>
              <w:right w:val="single" w:sz="2" w:space="0" w:color="000000"/>
            </w:tcBorders>
          </w:tcPr>
          <w:p w14:paraId="174F43F6" w14:textId="77777777" w:rsidR="009832C0" w:rsidRPr="00CD2F5C" w:rsidRDefault="009832C0" w:rsidP="002B0F75">
            <w:pPr>
              <w:spacing w:line="360" w:lineRule="auto"/>
              <w:rPr>
                <w:rFonts w:ascii="Cambria" w:hAnsi="Cambria"/>
                <w:sz w:val="24"/>
                <w:szCs w:val="24"/>
              </w:rPr>
            </w:pPr>
          </w:p>
        </w:tc>
        <w:tc>
          <w:tcPr>
            <w:tcW w:w="1012" w:type="dxa"/>
            <w:tcBorders>
              <w:top w:val="single" w:sz="2" w:space="0" w:color="000000"/>
              <w:left w:val="single" w:sz="2" w:space="0" w:color="000000"/>
              <w:bottom w:val="single" w:sz="2" w:space="0" w:color="000000"/>
              <w:right w:val="single" w:sz="2" w:space="0" w:color="000000"/>
            </w:tcBorders>
          </w:tcPr>
          <w:p w14:paraId="56EEEAEA" w14:textId="77777777" w:rsidR="009832C0" w:rsidRPr="00CD2F5C" w:rsidRDefault="009832C0" w:rsidP="002B0F75">
            <w:pPr>
              <w:spacing w:line="360" w:lineRule="auto"/>
              <w:rPr>
                <w:rFonts w:ascii="Cambria" w:hAnsi="Cambria"/>
                <w:sz w:val="24"/>
                <w:szCs w:val="24"/>
              </w:rPr>
            </w:pPr>
          </w:p>
        </w:tc>
      </w:tr>
      <w:tr w:rsidR="009832C0" w:rsidRPr="00CD2F5C" w14:paraId="3E9A6BD8"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540202F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      No (ref)</w:t>
            </w:r>
          </w:p>
        </w:tc>
        <w:tc>
          <w:tcPr>
            <w:tcW w:w="1105" w:type="dxa"/>
            <w:tcBorders>
              <w:top w:val="single" w:sz="2" w:space="0" w:color="000000"/>
              <w:left w:val="single" w:sz="2" w:space="0" w:color="000000"/>
              <w:bottom w:val="single" w:sz="2" w:space="0" w:color="000000"/>
              <w:right w:val="single" w:sz="2" w:space="0" w:color="000000"/>
            </w:tcBorders>
          </w:tcPr>
          <w:p w14:paraId="6C395B21" w14:textId="77777777" w:rsidR="009832C0" w:rsidRPr="00CD2F5C" w:rsidRDefault="009832C0" w:rsidP="002B0F75">
            <w:pPr>
              <w:spacing w:line="360" w:lineRule="auto"/>
              <w:rPr>
                <w:rFonts w:ascii="Cambria" w:hAnsi="Cambria"/>
                <w:sz w:val="24"/>
                <w:szCs w:val="24"/>
              </w:rPr>
            </w:pPr>
          </w:p>
        </w:tc>
        <w:tc>
          <w:tcPr>
            <w:tcW w:w="1170" w:type="dxa"/>
            <w:tcBorders>
              <w:top w:val="single" w:sz="2" w:space="0" w:color="000000"/>
              <w:left w:val="single" w:sz="2" w:space="0" w:color="000000"/>
              <w:bottom w:val="single" w:sz="2" w:space="0" w:color="000000"/>
              <w:right w:val="single" w:sz="2" w:space="0" w:color="000000"/>
            </w:tcBorders>
          </w:tcPr>
          <w:p w14:paraId="6F69FC2B" w14:textId="77777777" w:rsidR="009832C0" w:rsidRPr="00CD2F5C" w:rsidRDefault="009832C0" w:rsidP="002B0F75">
            <w:pPr>
              <w:spacing w:line="360" w:lineRule="auto"/>
              <w:rPr>
                <w:rFonts w:ascii="Cambria" w:hAnsi="Cambria"/>
                <w:sz w:val="24"/>
                <w:szCs w:val="24"/>
              </w:rPr>
            </w:pPr>
          </w:p>
        </w:tc>
        <w:tc>
          <w:tcPr>
            <w:tcW w:w="1037" w:type="dxa"/>
            <w:tcBorders>
              <w:top w:val="single" w:sz="2" w:space="0" w:color="000000"/>
              <w:left w:val="single" w:sz="2" w:space="0" w:color="000000"/>
              <w:bottom w:val="single" w:sz="2" w:space="0" w:color="000000"/>
              <w:right w:val="single" w:sz="2" w:space="0" w:color="000000"/>
            </w:tcBorders>
          </w:tcPr>
          <w:p w14:paraId="4FFBEF23" w14:textId="77777777" w:rsidR="009832C0" w:rsidRPr="00CD2F5C" w:rsidRDefault="009832C0" w:rsidP="002B0F75">
            <w:pPr>
              <w:spacing w:line="360" w:lineRule="auto"/>
              <w:rPr>
                <w:rFonts w:ascii="Cambria" w:hAnsi="Cambria"/>
                <w:sz w:val="24"/>
                <w:szCs w:val="24"/>
              </w:rPr>
            </w:pPr>
          </w:p>
        </w:tc>
        <w:tc>
          <w:tcPr>
            <w:tcW w:w="1012" w:type="dxa"/>
            <w:tcBorders>
              <w:top w:val="single" w:sz="2" w:space="0" w:color="000000"/>
              <w:left w:val="single" w:sz="2" w:space="0" w:color="000000"/>
              <w:bottom w:val="single" w:sz="2" w:space="0" w:color="000000"/>
              <w:right w:val="single" w:sz="2" w:space="0" w:color="000000"/>
            </w:tcBorders>
          </w:tcPr>
          <w:p w14:paraId="0F11F2C0" w14:textId="77777777" w:rsidR="009832C0" w:rsidRPr="00CD2F5C" w:rsidRDefault="009832C0" w:rsidP="002B0F75">
            <w:pPr>
              <w:spacing w:line="360" w:lineRule="auto"/>
              <w:rPr>
                <w:rFonts w:ascii="Cambria" w:hAnsi="Cambria"/>
                <w:sz w:val="24"/>
                <w:szCs w:val="24"/>
              </w:rPr>
            </w:pPr>
          </w:p>
        </w:tc>
      </w:tr>
      <w:tr w:rsidR="009832C0" w:rsidRPr="00CD2F5C" w14:paraId="48FA2AAC"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45280AD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      Yes</w:t>
            </w:r>
          </w:p>
        </w:tc>
        <w:tc>
          <w:tcPr>
            <w:tcW w:w="1105" w:type="dxa"/>
            <w:tcBorders>
              <w:top w:val="single" w:sz="2" w:space="0" w:color="000000"/>
              <w:left w:val="single" w:sz="2" w:space="0" w:color="000000"/>
              <w:bottom w:val="single" w:sz="2" w:space="0" w:color="000000"/>
              <w:right w:val="single" w:sz="2" w:space="0" w:color="000000"/>
            </w:tcBorders>
            <w:hideMark/>
          </w:tcPr>
          <w:p w14:paraId="2C35D8D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0.030</w:t>
            </w:r>
          </w:p>
        </w:tc>
        <w:tc>
          <w:tcPr>
            <w:tcW w:w="1170" w:type="dxa"/>
            <w:tcBorders>
              <w:top w:val="single" w:sz="2" w:space="0" w:color="000000"/>
              <w:left w:val="single" w:sz="2" w:space="0" w:color="000000"/>
              <w:bottom w:val="single" w:sz="2" w:space="0" w:color="000000"/>
              <w:right w:val="single" w:sz="2" w:space="0" w:color="000000"/>
            </w:tcBorders>
            <w:hideMark/>
          </w:tcPr>
          <w:p w14:paraId="28CC830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0.058</w:t>
            </w:r>
          </w:p>
        </w:tc>
        <w:tc>
          <w:tcPr>
            <w:tcW w:w="1037" w:type="dxa"/>
            <w:tcBorders>
              <w:top w:val="single" w:sz="2" w:space="0" w:color="000000"/>
              <w:left w:val="single" w:sz="2" w:space="0" w:color="000000"/>
              <w:bottom w:val="single" w:sz="2" w:space="0" w:color="000000"/>
              <w:right w:val="single" w:sz="2" w:space="0" w:color="000000"/>
            </w:tcBorders>
            <w:hideMark/>
          </w:tcPr>
          <w:p w14:paraId="48CC667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0.520</w:t>
            </w:r>
          </w:p>
        </w:tc>
        <w:tc>
          <w:tcPr>
            <w:tcW w:w="1012" w:type="dxa"/>
            <w:tcBorders>
              <w:top w:val="single" w:sz="2" w:space="0" w:color="000000"/>
              <w:left w:val="single" w:sz="2" w:space="0" w:color="000000"/>
              <w:bottom w:val="single" w:sz="2" w:space="0" w:color="000000"/>
              <w:right w:val="single" w:sz="2" w:space="0" w:color="000000"/>
            </w:tcBorders>
            <w:hideMark/>
          </w:tcPr>
          <w:p w14:paraId="648477F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0.603</w:t>
            </w:r>
          </w:p>
        </w:tc>
      </w:tr>
      <w:tr w:rsidR="009832C0" w:rsidRPr="00CD2F5C" w14:paraId="6DCDE41A"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4043E55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Trouble relaxing during anxiety episodes (Likert)</w:t>
            </w:r>
          </w:p>
        </w:tc>
        <w:tc>
          <w:tcPr>
            <w:tcW w:w="1105" w:type="dxa"/>
            <w:tcBorders>
              <w:top w:val="single" w:sz="2" w:space="0" w:color="000000"/>
              <w:left w:val="single" w:sz="2" w:space="0" w:color="000000"/>
              <w:bottom w:val="single" w:sz="2" w:space="0" w:color="000000"/>
              <w:right w:val="single" w:sz="2" w:space="0" w:color="000000"/>
            </w:tcBorders>
            <w:hideMark/>
          </w:tcPr>
          <w:p w14:paraId="07C156A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0.134</w:t>
            </w:r>
          </w:p>
        </w:tc>
        <w:tc>
          <w:tcPr>
            <w:tcW w:w="1170" w:type="dxa"/>
            <w:tcBorders>
              <w:top w:val="single" w:sz="2" w:space="0" w:color="000000"/>
              <w:left w:val="single" w:sz="2" w:space="0" w:color="000000"/>
              <w:bottom w:val="single" w:sz="2" w:space="0" w:color="000000"/>
              <w:right w:val="single" w:sz="2" w:space="0" w:color="000000"/>
            </w:tcBorders>
            <w:hideMark/>
          </w:tcPr>
          <w:p w14:paraId="1F2612A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0.034</w:t>
            </w:r>
          </w:p>
        </w:tc>
        <w:tc>
          <w:tcPr>
            <w:tcW w:w="1037" w:type="dxa"/>
            <w:tcBorders>
              <w:top w:val="single" w:sz="2" w:space="0" w:color="000000"/>
              <w:left w:val="single" w:sz="2" w:space="0" w:color="000000"/>
              <w:bottom w:val="single" w:sz="2" w:space="0" w:color="000000"/>
              <w:right w:val="single" w:sz="2" w:space="0" w:color="000000"/>
            </w:tcBorders>
            <w:hideMark/>
          </w:tcPr>
          <w:p w14:paraId="12A7075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3.991</w:t>
            </w:r>
          </w:p>
        </w:tc>
        <w:tc>
          <w:tcPr>
            <w:tcW w:w="1012" w:type="dxa"/>
            <w:tcBorders>
              <w:top w:val="single" w:sz="2" w:space="0" w:color="000000"/>
              <w:left w:val="single" w:sz="2" w:space="0" w:color="000000"/>
              <w:bottom w:val="single" w:sz="2" w:space="0" w:color="000000"/>
              <w:right w:val="single" w:sz="2" w:space="0" w:color="000000"/>
            </w:tcBorders>
            <w:hideMark/>
          </w:tcPr>
          <w:p w14:paraId="2CD12039"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 &lt; 0.001</w:t>
            </w:r>
          </w:p>
        </w:tc>
      </w:tr>
      <w:tr w:rsidR="009832C0" w:rsidRPr="00CD2F5C" w14:paraId="0DE70E69"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0EB4988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Muscle symptoms during anxiety episodes</w:t>
            </w:r>
          </w:p>
        </w:tc>
        <w:tc>
          <w:tcPr>
            <w:tcW w:w="1105" w:type="dxa"/>
            <w:tcBorders>
              <w:top w:val="single" w:sz="2" w:space="0" w:color="000000"/>
              <w:left w:val="single" w:sz="2" w:space="0" w:color="000000"/>
              <w:bottom w:val="single" w:sz="2" w:space="0" w:color="000000"/>
              <w:right w:val="single" w:sz="2" w:space="0" w:color="000000"/>
            </w:tcBorders>
          </w:tcPr>
          <w:p w14:paraId="414C6037" w14:textId="77777777" w:rsidR="009832C0" w:rsidRPr="00CD2F5C" w:rsidRDefault="009832C0" w:rsidP="002B0F75">
            <w:pPr>
              <w:spacing w:line="360" w:lineRule="auto"/>
              <w:rPr>
                <w:rFonts w:ascii="Cambria" w:hAnsi="Cambria"/>
                <w:sz w:val="24"/>
                <w:szCs w:val="24"/>
              </w:rPr>
            </w:pPr>
          </w:p>
        </w:tc>
        <w:tc>
          <w:tcPr>
            <w:tcW w:w="1170" w:type="dxa"/>
            <w:tcBorders>
              <w:top w:val="single" w:sz="2" w:space="0" w:color="000000"/>
              <w:left w:val="single" w:sz="2" w:space="0" w:color="000000"/>
              <w:bottom w:val="single" w:sz="2" w:space="0" w:color="000000"/>
              <w:right w:val="single" w:sz="2" w:space="0" w:color="000000"/>
            </w:tcBorders>
          </w:tcPr>
          <w:p w14:paraId="2A13EA69" w14:textId="77777777" w:rsidR="009832C0" w:rsidRPr="00CD2F5C" w:rsidRDefault="009832C0" w:rsidP="002B0F75">
            <w:pPr>
              <w:spacing w:line="360" w:lineRule="auto"/>
              <w:rPr>
                <w:rFonts w:ascii="Cambria" w:hAnsi="Cambria"/>
                <w:sz w:val="24"/>
                <w:szCs w:val="24"/>
              </w:rPr>
            </w:pPr>
          </w:p>
        </w:tc>
        <w:tc>
          <w:tcPr>
            <w:tcW w:w="1037" w:type="dxa"/>
            <w:tcBorders>
              <w:top w:val="single" w:sz="2" w:space="0" w:color="000000"/>
              <w:left w:val="single" w:sz="2" w:space="0" w:color="000000"/>
              <w:bottom w:val="single" w:sz="2" w:space="0" w:color="000000"/>
              <w:right w:val="single" w:sz="2" w:space="0" w:color="000000"/>
            </w:tcBorders>
          </w:tcPr>
          <w:p w14:paraId="59147C1C" w14:textId="77777777" w:rsidR="009832C0" w:rsidRPr="00CD2F5C" w:rsidRDefault="009832C0" w:rsidP="002B0F75">
            <w:pPr>
              <w:spacing w:line="360" w:lineRule="auto"/>
              <w:rPr>
                <w:rFonts w:ascii="Cambria" w:hAnsi="Cambria"/>
                <w:sz w:val="24"/>
                <w:szCs w:val="24"/>
              </w:rPr>
            </w:pPr>
          </w:p>
        </w:tc>
        <w:tc>
          <w:tcPr>
            <w:tcW w:w="1012" w:type="dxa"/>
            <w:tcBorders>
              <w:top w:val="single" w:sz="2" w:space="0" w:color="000000"/>
              <w:left w:val="single" w:sz="2" w:space="0" w:color="000000"/>
              <w:bottom w:val="single" w:sz="2" w:space="0" w:color="000000"/>
              <w:right w:val="single" w:sz="2" w:space="0" w:color="000000"/>
            </w:tcBorders>
          </w:tcPr>
          <w:p w14:paraId="01EA2055" w14:textId="77777777" w:rsidR="009832C0" w:rsidRPr="00CD2F5C" w:rsidRDefault="009832C0" w:rsidP="002B0F75">
            <w:pPr>
              <w:spacing w:line="360" w:lineRule="auto"/>
              <w:rPr>
                <w:rFonts w:ascii="Cambria" w:hAnsi="Cambria"/>
                <w:sz w:val="24"/>
                <w:szCs w:val="24"/>
              </w:rPr>
            </w:pPr>
          </w:p>
        </w:tc>
      </w:tr>
      <w:tr w:rsidR="009832C0" w:rsidRPr="00CD2F5C" w14:paraId="4153F3CE"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7420881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      No (ref)</w:t>
            </w:r>
          </w:p>
        </w:tc>
        <w:tc>
          <w:tcPr>
            <w:tcW w:w="1105" w:type="dxa"/>
            <w:tcBorders>
              <w:top w:val="single" w:sz="2" w:space="0" w:color="000000"/>
              <w:left w:val="single" w:sz="2" w:space="0" w:color="000000"/>
              <w:bottom w:val="single" w:sz="2" w:space="0" w:color="000000"/>
              <w:right w:val="single" w:sz="2" w:space="0" w:color="000000"/>
            </w:tcBorders>
          </w:tcPr>
          <w:p w14:paraId="1F11E92C" w14:textId="77777777" w:rsidR="009832C0" w:rsidRPr="00CD2F5C" w:rsidRDefault="009832C0" w:rsidP="002B0F75">
            <w:pPr>
              <w:spacing w:line="360" w:lineRule="auto"/>
              <w:rPr>
                <w:rFonts w:ascii="Cambria" w:hAnsi="Cambria"/>
                <w:sz w:val="24"/>
                <w:szCs w:val="24"/>
              </w:rPr>
            </w:pPr>
          </w:p>
        </w:tc>
        <w:tc>
          <w:tcPr>
            <w:tcW w:w="1170" w:type="dxa"/>
            <w:tcBorders>
              <w:top w:val="single" w:sz="2" w:space="0" w:color="000000"/>
              <w:left w:val="single" w:sz="2" w:space="0" w:color="000000"/>
              <w:bottom w:val="single" w:sz="2" w:space="0" w:color="000000"/>
              <w:right w:val="single" w:sz="2" w:space="0" w:color="000000"/>
            </w:tcBorders>
          </w:tcPr>
          <w:p w14:paraId="0D2AF88E" w14:textId="77777777" w:rsidR="009832C0" w:rsidRPr="00CD2F5C" w:rsidRDefault="009832C0" w:rsidP="002B0F75">
            <w:pPr>
              <w:spacing w:line="360" w:lineRule="auto"/>
              <w:rPr>
                <w:rFonts w:ascii="Cambria" w:hAnsi="Cambria"/>
                <w:sz w:val="24"/>
                <w:szCs w:val="24"/>
              </w:rPr>
            </w:pPr>
          </w:p>
        </w:tc>
        <w:tc>
          <w:tcPr>
            <w:tcW w:w="1037" w:type="dxa"/>
            <w:tcBorders>
              <w:top w:val="single" w:sz="2" w:space="0" w:color="000000"/>
              <w:left w:val="single" w:sz="2" w:space="0" w:color="000000"/>
              <w:bottom w:val="single" w:sz="2" w:space="0" w:color="000000"/>
              <w:right w:val="single" w:sz="2" w:space="0" w:color="000000"/>
            </w:tcBorders>
          </w:tcPr>
          <w:p w14:paraId="448E2292" w14:textId="77777777" w:rsidR="009832C0" w:rsidRPr="00CD2F5C" w:rsidRDefault="009832C0" w:rsidP="002B0F75">
            <w:pPr>
              <w:spacing w:line="360" w:lineRule="auto"/>
              <w:rPr>
                <w:rFonts w:ascii="Cambria" w:hAnsi="Cambria"/>
                <w:sz w:val="24"/>
                <w:szCs w:val="24"/>
              </w:rPr>
            </w:pPr>
          </w:p>
        </w:tc>
        <w:tc>
          <w:tcPr>
            <w:tcW w:w="1012" w:type="dxa"/>
            <w:tcBorders>
              <w:top w:val="single" w:sz="2" w:space="0" w:color="000000"/>
              <w:left w:val="single" w:sz="2" w:space="0" w:color="000000"/>
              <w:bottom w:val="single" w:sz="2" w:space="0" w:color="000000"/>
              <w:right w:val="single" w:sz="2" w:space="0" w:color="000000"/>
            </w:tcBorders>
          </w:tcPr>
          <w:p w14:paraId="1BD123B7" w14:textId="77777777" w:rsidR="009832C0" w:rsidRPr="00CD2F5C" w:rsidRDefault="009832C0" w:rsidP="002B0F75">
            <w:pPr>
              <w:spacing w:line="360" w:lineRule="auto"/>
              <w:rPr>
                <w:rFonts w:ascii="Cambria" w:hAnsi="Cambria"/>
                <w:sz w:val="24"/>
                <w:szCs w:val="24"/>
              </w:rPr>
            </w:pPr>
          </w:p>
        </w:tc>
      </w:tr>
      <w:tr w:rsidR="009832C0" w:rsidRPr="00CD2F5C" w14:paraId="2F2811B7"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4CBCF4E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      Yes</w:t>
            </w:r>
          </w:p>
        </w:tc>
        <w:tc>
          <w:tcPr>
            <w:tcW w:w="1105" w:type="dxa"/>
            <w:tcBorders>
              <w:top w:val="single" w:sz="2" w:space="0" w:color="000000"/>
              <w:left w:val="single" w:sz="2" w:space="0" w:color="000000"/>
              <w:bottom w:val="single" w:sz="2" w:space="0" w:color="000000"/>
              <w:right w:val="single" w:sz="2" w:space="0" w:color="000000"/>
            </w:tcBorders>
            <w:hideMark/>
          </w:tcPr>
          <w:p w14:paraId="080B742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0.239</w:t>
            </w:r>
          </w:p>
        </w:tc>
        <w:tc>
          <w:tcPr>
            <w:tcW w:w="1170" w:type="dxa"/>
            <w:tcBorders>
              <w:top w:val="single" w:sz="2" w:space="0" w:color="000000"/>
              <w:left w:val="single" w:sz="2" w:space="0" w:color="000000"/>
              <w:bottom w:val="single" w:sz="2" w:space="0" w:color="000000"/>
              <w:right w:val="single" w:sz="2" w:space="0" w:color="000000"/>
            </w:tcBorders>
            <w:hideMark/>
          </w:tcPr>
          <w:p w14:paraId="3A73747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0.059</w:t>
            </w:r>
          </w:p>
        </w:tc>
        <w:tc>
          <w:tcPr>
            <w:tcW w:w="1037" w:type="dxa"/>
            <w:tcBorders>
              <w:top w:val="single" w:sz="2" w:space="0" w:color="000000"/>
              <w:left w:val="single" w:sz="2" w:space="0" w:color="000000"/>
              <w:bottom w:val="single" w:sz="2" w:space="0" w:color="000000"/>
              <w:right w:val="single" w:sz="2" w:space="0" w:color="000000"/>
            </w:tcBorders>
            <w:hideMark/>
          </w:tcPr>
          <w:p w14:paraId="7A4744C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4.025</w:t>
            </w:r>
          </w:p>
        </w:tc>
        <w:tc>
          <w:tcPr>
            <w:tcW w:w="1012" w:type="dxa"/>
            <w:tcBorders>
              <w:top w:val="single" w:sz="2" w:space="0" w:color="000000"/>
              <w:left w:val="single" w:sz="2" w:space="0" w:color="000000"/>
              <w:bottom w:val="single" w:sz="2" w:space="0" w:color="000000"/>
              <w:right w:val="single" w:sz="2" w:space="0" w:color="000000"/>
            </w:tcBorders>
            <w:hideMark/>
          </w:tcPr>
          <w:p w14:paraId="1B2680CE"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 &lt; 0.001</w:t>
            </w:r>
          </w:p>
        </w:tc>
      </w:tr>
      <w:tr w:rsidR="009832C0" w:rsidRPr="00CD2F5C" w14:paraId="4087D0F9"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2F3C59C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CRP average levels</w:t>
            </w:r>
          </w:p>
        </w:tc>
        <w:tc>
          <w:tcPr>
            <w:tcW w:w="1105" w:type="dxa"/>
            <w:tcBorders>
              <w:top w:val="single" w:sz="2" w:space="0" w:color="000000"/>
              <w:left w:val="single" w:sz="2" w:space="0" w:color="000000"/>
              <w:bottom w:val="single" w:sz="2" w:space="0" w:color="000000"/>
              <w:right w:val="single" w:sz="2" w:space="0" w:color="000000"/>
            </w:tcBorders>
            <w:hideMark/>
          </w:tcPr>
          <w:p w14:paraId="394CAE9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0.011</w:t>
            </w:r>
          </w:p>
        </w:tc>
        <w:tc>
          <w:tcPr>
            <w:tcW w:w="1170" w:type="dxa"/>
            <w:tcBorders>
              <w:top w:val="single" w:sz="2" w:space="0" w:color="000000"/>
              <w:left w:val="single" w:sz="2" w:space="0" w:color="000000"/>
              <w:bottom w:val="single" w:sz="2" w:space="0" w:color="000000"/>
              <w:right w:val="single" w:sz="2" w:space="0" w:color="000000"/>
            </w:tcBorders>
            <w:hideMark/>
          </w:tcPr>
          <w:p w14:paraId="4DD1958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0.020</w:t>
            </w:r>
          </w:p>
        </w:tc>
        <w:tc>
          <w:tcPr>
            <w:tcW w:w="1037" w:type="dxa"/>
            <w:tcBorders>
              <w:top w:val="single" w:sz="2" w:space="0" w:color="000000"/>
              <w:left w:val="single" w:sz="2" w:space="0" w:color="000000"/>
              <w:bottom w:val="single" w:sz="2" w:space="0" w:color="000000"/>
              <w:right w:val="single" w:sz="2" w:space="0" w:color="000000"/>
            </w:tcBorders>
            <w:hideMark/>
          </w:tcPr>
          <w:p w14:paraId="7C62B70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0.547</w:t>
            </w:r>
          </w:p>
        </w:tc>
        <w:tc>
          <w:tcPr>
            <w:tcW w:w="1012" w:type="dxa"/>
            <w:tcBorders>
              <w:top w:val="single" w:sz="2" w:space="0" w:color="000000"/>
              <w:left w:val="single" w:sz="2" w:space="0" w:color="000000"/>
              <w:bottom w:val="single" w:sz="2" w:space="0" w:color="000000"/>
              <w:right w:val="single" w:sz="2" w:space="0" w:color="000000"/>
            </w:tcBorders>
            <w:hideMark/>
          </w:tcPr>
          <w:p w14:paraId="721591D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0.584</w:t>
            </w:r>
          </w:p>
        </w:tc>
      </w:tr>
      <w:tr w:rsidR="009832C0" w:rsidRPr="00CD2F5C" w14:paraId="6F02A63A"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3568B66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Interactions</w:t>
            </w:r>
          </w:p>
        </w:tc>
        <w:tc>
          <w:tcPr>
            <w:tcW w:w="1105" w:type="dxa"/>
            <w:tcBorders>
              <w:top w:val="single" w:sz="2" w:space="0" w:color="000000"/>
              <w:left w:val="single" w:sz="2" w:space="0" w:color="000000"/>
              <w:bottom w:val="single" w:sz="2" w:space="0" w:color="000000"/>
              <w:right w:val="single" w:sz="2" w:space="0" w:color="000000"/>
            </w:tcBorders>
          </w:tcPr>
          <w:p w14:paraId="0D2A4E02" w14:textId="77777777" w:rsidR="009832C0" w:rsidRPr="00CD2F5C" w:rsidRDefault="009832C0" w:rsidP="002B0F75">
            <w:pPr>
              <w:spacing w:line="360" w:lineRule="auto"/>
              <w:rPr>
                <w:rFonts w:ascii="Cambria" w:hAnsi="Cambria"/>
                <w:sz w:val="24"/>
                <w:szCs w:val="24"/>
              </w:rPr>
            </w:pPr>
          </w:p>
        </w:tc>
        <w:tc>
          <w:tcPr>
            <w:tcW w:w="1170" w:type="dxa"/>
            <w:tcBorders>
              <w:top w:val="single" w:sz="2" w:space="0" w:color="000000"/>
              <w:left w:val="single" w:sz="2" w:space="0" w:color="000000"/>
              <w:bottom w:val="single" w:sz="2" w:space="0" w:color="000000"/>
              <w:right w:val="single" w:sz="2" w:space="0" w:color="000000"/>
            </w:tcBorders>
          </w:tcPr>
          <w:p w14:paraId="2AFF6C3C" w14:textId="77777777" w:rsidR="009832C0" w:rsidRPr="00CD2F5C" w:rsidRDefault="009832C0" w:rsidP="002B0F75">
            <w:pPr>
              <w:spacing w:line="360" w:lineRule="auto"/>
              <w:rPr>
                <w:rFonts w:ascii="Cambria" w:hAnsi="Cambria"/>
                <w:sz w:val="24"/>
                <w:szCs w:val="24"/>
              </w:rPr>
            </w:pPr>
          </w:p>
        </w:tc>
        <w:tc>
          <w:tcPr>
            <w:tcW w:w="1037" w:type="dxa"/>
            <w:tcBorders>
              <w:top w:val="single" w:sz="2" w:space="0" w:color="000000"/>
              <w:left w:val="single" w:sz="2" w:space="0" w:color="000000"/>
              <w:bottom w:val="single" w:sz="2" w:space="0" w:color="000000"/>
              <w:right w:val="single" w:sz="2" w:space="0" w:color="000000"/>
            </w:tcBorders>
          </w:tcPr>
          <w:p w14:paraId="23E7F48B" w14:textId="77777777" w:rsidR="009832C0" w:rsidRPr="00CD2F5C" w:rsidRDefault="009832C0" w:rsidP="002B0F75">
            <w:pPr>
              <w:spacing w:line="360" w:lineRule="auto"/>
              <w:rPr>
                <w:rFonts w:ascii="Cambria" w:hAnsi="Cambria"/>
                <w:sz w:val="24"/>
                <w:szCs w:val="24"/>
              </w:rPr>
            </w:pPr>
          </w:p>
        </w:tc>
        <w:tc>
          <w:tcPr>
            <w:tcW w:w="1012" w:type="dxa"/>
            <w:tcBorders>
              <w:top w:val="single" w:sz="2" w:space="0" w:color="000000"/>
              <w:left w:val="single" w:sz="2" w:space="0" w:color="000000"/>
              <w:bottom w:val="single" w:sz="2" w:space="0" w:color="000000"/>
              <w:right w:val="single" w:sz="2" w:space="0" w:color="000000"/>
            </w:tcBorders>
          </w:tcPr>
          <w:p w14:paraId="149D3B8F" w14:textId="77777777" w:rsidR="009832C0" w:rsidRPr="00CD2F5C" w:rsidRDefault="009832C0" w:rsidP="002B0F75">
            <w:pPr>
              <w:spacing w:line="360" w:lineRule="auto"/>
              <w:rPr>
                <w:rFonts w:ascii="Cambria" w:hAnsi="Cambria"/>
                <w:sz w:val="24"/>
                <w:szCs w:val="24"/>
              </w:rPr>
            </w:pPr>
          </w:p>
        </w:tc>
      </w:tr>
      <w:tr w:rsidR="009832C0" w:rsidRPr="00CD2F5C" w14:paraId="6C43F734"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53AFF1A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Trouble relaxing X sexually abused</w:t>
            </w:r>
          </w:p>
        </w:tc>
        <w:tc>
          <w:tcPr>
            <w:tcW w:w="1105" w:type="dxa"/>
            <w:tcBorders>
              <w:top w:val="single" w:sz="2" w:space="0" w:color="000000"/>
              <w:left w:val="single" w:sz="2" w:space="0" w:color="000000"/>
              <w:bottom w:val="single" w:sz="2" w:space="0" w:color="000000"/>
              <w:right w:val="single" w:sz="2" w:space="0" w:color="000000"/>
            </w:tcBorders>
            <w:hideMark/>
          </w:tcPr>
          <w:p w14:paraId="1FD5C9B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− 0.014</w:t>
            </w:r>
          </w:p>
        </w:tc>
        <w:tc>
          <w:tcPr>
            <w:tcW w:w="1170" w:type="dxa"/>
            <w:tcBorders>
              <w:top w:val="single" w:sz="2" w:space="0" w:color="000000"/>
              <w:left w:val="single" w:sz="2" w:space="0" w:color="000000"/>
              <w:bottom w:val="single" w:sz="2" w:space="0" w:color="000000"/>
              <w:right w:val="single" w:sz="2" w:space="0" w:color="000000"/>
            </w:tcBorders>
            <w:hideMark/>
          </w:tcPr>
          <w:p w14:paraId="67A8409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0.019</w:t>
            </w:r>
          </w:p>
        </w:tc>
        <w:tc>
          <w:tcPr>
            <w:tcW w:w="1037" w:type="dxa"/>
            <w:tcBorders>
              <w:top w:val="single" w:sz="2" w:space="0" w:color="000000"/>
              <w:left w:val="single" w:sz="2" w:space="0" w:color="000000"/>
              <w:bottom w:val="single" w:sz="2" w:space="0" w:color="000000"/>
              <w:right w:val="single" w:sz="2" w:space="0" w:color="000000"/>
            </w:tcBorders>
            <w:hideMark/>
          </w:tcPr>
          <w:p w14:paraId="3CC34CF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− 0.733</w:t>
            </w:r>
          </w:p>
        </w:tc>
        <w:tc>
          <w:tcPr>
            <w:tcW w:w="1012" w:type="dxa"/>
            <w:tcBorders>
              <w:top w:val="single" w:sz="2" w:space="0" w:color="000000"/>
              <w:left w:val="single" w:sz="2" w:space="0" w:color="000000"/>
              <w:bottom w:val="single" w:sz="2" w:space="0" w:color="000000"/>
              <w:right w:val="single" w:sz="2" w:space="0" w:color="000000"/>
            </w:tcBorders>
            <w:hideMark/>
          </w:tcPr>
          <w:p w14:paraId="2B6C13E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0.464</w:t>
            </w:r>
          </w:p>
        </w:tc>
      </w:tr>
      <w:tr w:rsidR="009832C0" w:rsidRPr="00CD2F5C" w14:paraId="08CF6784"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066F7CE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Physically abused X sexually abused</w:t>
            </w:r>
          </w:p>
        </w:tc>
        <w:tc>
          <w:tcPr>
            <w:tcW w:w="1105" w:type="dxa"/>
            <w:tcBorders>
              <w:top w:val="single" w:sz="2" w:space="0" w:color="000000"/>
              <w:left w:val="single" w:sz="2" w:space="0" w:color="000000"/>
              <w:bottom w:val="single" w:sz="2" w:space="0" w:color="000000"/>
              <w:right w:val="single" w:sz="2" w:space="0" w:color="000000"/>
            </w:tcBorders>
            <w:hideMark/>
          </w:tcPr>
          <w:p w14:paraId="7E16884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− 0.080</w:t>
            </w:r>
          </w:p>
        </w:tc>
        <w:tc>
          <w:tcPr>
            <w:tcW w:w="1170" w:type="dxa"/>
            <w:tcBorders>
              <w:top w:val="single" w:sz="2" w:space="0" w:color="000000"/>
              <w:left w:val="single" w:sz="2" w:space="0" w:color="000000"/>
              <w:bottom w:val="single" w:sz="2" w:space="0" w:color="000000"/>
              <w:right w:val="single" w:sz="2" w:space="0" w:color="000000"/>
            </w:tcBorders>
            <w:hideMark/>
          </w:tcPr>
          <w:p w14:paraId="4177AD2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0.019</w:t>
            </w:r>
          </w:p>
        </w:tc>
        <w:tc>
          <w:tcPr>
            <w:tcW w:w="1037" w:type="dxa"/>
            <w:tcBorders>
              <w:top w:val="single" w:sz="2" w:space="0" w:color="000000"/>
              <w:left w:val="single" w:sz="2" w:space="0" w:color="000000"/>
              <w:bottom w:val="single" w:sz="2" w:space="0" w:color="000000"/>
              <w:right w:val="single" w:sz="2" w:space="0" w:color="000000"/>
            </w:tcBorders>
            <w:hideMark/>
          </w:tcPr>
          <w:p w14:paraId="273B114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− 4.326</w:t>
            </w:r>
          </w:p>
        </w:tc>
        <w:tc>
          <w:tcPr>
            <w:tcW w:w="1012" w:type="dxa"/>
            <w:tcBorders>
              <w:top w:val="single" w:sz="2" w:space="0" w:color="000000"/>
              <w:left w:val="single" w:sz="2" w:space="0" w:color="000000"/>
              <w:bottom w:val="single" w:sz="2" w:space="0" w:color="000000"/>
              <w:right w:val="single" w:sz="2" w:space="0" w:color="000000"/>
            </w:tcBorders>
            <w:hideMark/>
          </w:tcPr>
          <w:p w14:paraId="2012B5A6"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 &lt; 0.001</w:t>
            </w:r>
          </w:p>
        </w:tc>
      </w:tr>
      <w:tr w:rsidR="009832C0" w:rsidRPr="00CD2F5C" w14:paraId="1B235657"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17C2EE0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Muscle symptoms X physically abused</w:t>
            </w:r>
          </w:p>
        </w:tc>
        <w:tc>
          <w:tcPr>
            <w:tcW w:w="1105" w:type="dxa"/>
            <w:tcBorders>
              <w:top w:val="single" w:sz="2" w:space="0" w:color="000000"/>
              <w:left w:val="single" w:sz="2" w:space="0" w:color="000000"/>
              <w:bottom w:val="single" w:sz="2" w:space="0" w:color="000000"/>
              <w:right w:val="single" w:sz="2" w:space="0" w:color="000000"/>
            </w:tcBorders>
            <w:hideMark/>
          </w:tcPr>
          <w:p w14:paraId="2C312E9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− 0.089</w:t>
            </w:r>
          </w:p>
        </w:tc>
        <w:tc>
          <w:tcPr>
            <w:tcW w:w="1170" w:type="dxa"/>
            <w:tcBorders>
              <w:top w:val="single" w:sz="2" w:space="0" w:color="000000"/>
              <w:left w:val="single" w:sz="2" w:space="0" w:color="000000"/>
              <w:bottom w:val="single" w:sz="2" w:space="0" w:color="000000"/>
              <w:right w:val="single" w:sz="2" w:space="0" w:color="000000"/>
            </w:tcBorders>
            <w:hideMark/>
          </w:tcPr>
          <w:p w14:paraId="75D4763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0.042</w:t>
            </w:r>
          </w:p>
        </w:tc>
        <w:tc>
          <w:tcPr>
            <w:tcW w:w="1037" w:type="dxa"/>
            <w:tcBorders>
              <w:top w:val="single" w:sz="2" w:space="0" w:color="000000"/>
              <w:left w:val="single" w:sz="2" w:space="0" w:color="000000"/>
              <w:bottom w:val="single" w:sz="2" w:space="0" w:color="000000"/>
              <w:right w:val="single" w:sz="2" w:space="0" w:color="000000"/>
            </w:tcBorders>
            <w:hideMark/>
          </w:tcPr>
          <w:p w14:paraId="72C7503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− 2.127</w:t>
            </w:r>
          </w:p>
        </w:tc>
        <w:tc>
          <w:tcPr>
            <w:tcW w:w="1012" w:type="dxa"/>
            <w:tcBorders>
              <w:top w:val="single" w:sz="2" w:space="0" w:color="000000"/>
              <w:left w:val="single" w:sz="2" w:space="0" w:color="000000"/>
              <w:bottom w:val="single" w:sz="2" w:space="0" w:color="000000"/>
              <w:right w:val="single" w:sz="2" w:space="0" w:color="000000"/>
            </w:tcBorders>
            <w:hideMark/>
          </w:tcPr>
          <w:p w14:paraId="635DA8D8"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0.033</w:t>
            </w:r>
          </w:p>
        </w:tc>
      </w:tr>
      <w:tr w:rsidR="009832C0" w:rsidRPr="00CD2F5C" w14:paraId="2D642D5F"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35B4025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Has informed a professional about anxiety X felt hated as a child</w:t>
            </w:r>
          </w:p>
        </w:tc>
        <w:tc>
          <w:tcPr>
            <w:tcW w:w="1105" w:type="dxa"/>
            <w:tcBorders>
              <w:top w:val="single" w:sz="2" w:space="0" w:color="000000"/>
              <w:left w:val="single" w:sz="2" w:space="0" w:color="000000"/>
              <w:bottom w:val="single" w:sz="2" w:space="0" w:color="000000"/>
              <w:right w:val="single" w:sz="2" w:space="0" w:color="000000"/>
            </w:tcBorders>
            <w:hideMark/>
          </w:tcPr>
          <w:p w14:paraId="55CAF9C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0.000</w:t>
            </w:r>
          </w:p>
        </w:tc>
        <w:tc>
          <w:tcPr>
            <w:tcW w:w="1170" w:type="dxa"/>
            <w:tcBorders>
              <w:top w:val="single" w:sz="2" w:space="0" w:color="000000"/>
              <w:left w:val="single" w:sz="2" w:space="0" w:color="000000"/>
              <w:bottom w:val="single" w:sz="2" w:space="0" w:color="000000"/>
              <w:right w:val="single" w:sz="2" w:space="0" w:color="000000"/>
            </w:tcBorders>
            <w:hideMark/>
          </w:tcPr>
          <w:p w14:paraId="66DC50C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0.034</w:t>
            </w:r>
          </w:p>
        </w:tc>
        <w:tc>
          <w:tcPr>
            <w:tcW w:w="1037" w:type="dxa"/>
            <w:tcBorders>
              <w:top w:val="single" w:sz="2" w:space="0" w:color="000000"/>
              <w:left w:val="single" w:sz="2" w:space="0" w:color="000000"/>
              <w:bottom w:val="single" w:sz="2" w:space="0" w:color="000000"/>
              <w:right w:val="single" w:sz="2" w:space="0" w:color="000000"/>
            </w:tcBorders>
            <w:hideMark/>
          </w:tcPr>
          <w:p w14:paraId="2D12EEA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0.010</w:t>
            </w:r>
          </w:p>
        </w:tc>
        <w:tc>
          <w:tcPr>
            <w:tcW w:w="1012" w:type="dxa"/>
            <w:tcBorders>
              <w:top w:val="single" w:sz="2" w:space="0" w:color="000000"/>
              <w:left w:val="single" w:sz="2" w:space="0" w:color="000000"/>
              <w:bottom w:val="single" w:sz="2" w:space="0" w:color="000000"/>
              <w:right w:val="single" w:sz="2" w:space="0" w:color="000000"/>
            </w:tcBorders>
            <w:hideMark/>
          </w:tcPr>
          <w:p w14:paraId="4A5B58A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0.992</w:t>
            </w:r>
          </w:p>
        </w:tc>
      </w:tr>
      <w:tr w:rsidR="009832C0" w:rsidRPr="00CD2F5C" w14:paraId="0449BC5E"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772D6C4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Trouble Relaxing X felt hated as a child</w:t>
            </w:r>
          </w:p>
        </w:tc>
        <w:tc>
          <w:tcPr>
            <w:tcW w:w="1105" w:type="dxa"/>
            <w:tcBorders>
              <w:top w:val="single" w:sz="2" w:space="0" w:color="000000"/>
              <w:left w:val="single" w:sz="2" w:space="0" w:color="000000"/>
              <w:bottom w:val="single" w:sz="2" w:space="0" w:color="000000"/>
              <w:right w:val="single" w:sz="2" w:space="0" w:color="000000"/>
            </w:tcBorders>
            <w:hideMark/>
          </w:tcPr>
          <w:p w14:paraId="249FC6A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− 0.013</w:t>
            </w:r>
          </w:p>
        </w:tc>
        <w:tc>
          <w:tcPr>
            <w:tcW w:w="1170" w:type="dxa"/>
            <w:tcBorders>
              <w:top w:val="single" w:sz="2" w:space="0" w:color="000000"/>
              <w:left w:val="single" w:sz="2" w:space="0" w:color="000000"/>
              <w:bottom w:val="single" w:sz="2" w:space="0" w:color="000000"/>
              <w:right w:val="single" w:sz="2" w:space="0" w:color="000000"/>
            </w:tcBorders>
            <w:hideMark/>
          </w:tcPr>
          <w:p w14:paraId="2095771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0.017</w:t>
            </w:r>
          </w:p>
        </w:tc>
        <w:tc>
          <w:tcPr>
            <w:tcW w:w="1037" w:type="dxa"/>
            <w:tcBorders>
              <w:top w:val="single" w:sz="2" w:space="0" w:color="000000"/>
              <w:left w:val="single" w:sz="2" w:space="0" w:color="000000"/>
              <w:bottom w:val="single" w:sz="2" w:space="0" w:color="000000"/>
              <w:right w:val="single" w:sz="2" w:space="0" w:color="000000"/>
            </w:tcBorders>
            <w:hideMark/>
          </w:tcPr>
          <w:p w14:paraId="2106BFE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− 0.773</w:t>
            </w:r>
          </w:p>
        </w:tc>
        <w:tc>
          <w:tcPr>
            <w:tcW w:w="1012" w:type="dxa"/>
            <w:tcBorders>
              <w:top w:val="single" w:sz="2" w:space="0" w:color="000000"/>
              <w:left w:val="single" w:sz="2" w:space="0" w:color="000000"/>
              <w:bottom w:val="single" w:sz="2" w:space="0" w:color="000000"/>
              <w:right w:val="single" w:sz="2" w:space="0" w:color="000000"/>
            </w:tcBorders>
            <w:hideMark/>
          </w:tcPr>
          <w:p w14:paraId="1AFD58F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0.439</w:t>
            </w:r>
          </w:p>
        </w:tc>
      </w:tr>
      <w:tr w:rsidR="009832C0" w:rsidRPr="00CD2F5C" w14:paraId="3C93E9B8"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1BCC1913"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Has informed a professional about anxiety X CRP</w:t>
            </w:r>
          </w:p>
        </w:tc>
        <w:tc>
          <w:tcPr>
            <w:tcW w:w="1105" w:type="dxa"/>
            <w:tcBorders>
              <w:top w:val="single" w:sz="2" w:space="0" w:color="000000"/>
              <w:left w:val="single" w:sz="2" w:space="0" w:color="000000"/>
              <w:bottom w:val="single" w:sz="2" w:space="0" w:color="000000"/>
              <w:right w:val="single" w:sz="2" w:space="0" w:color="000000"/>
            </w:tcBorders>
            <w:hideMark/>
          </w:tcPr>
          <w:p w14:paraId="7FEAA6D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0.036</w:t>
            </w:r>
          </w:p>
        </w:tc>
        <w:tc>
          <w:tcPr>
            <w:tcW w:w="1170" w:type="dxa"/>
            <w:tcBorders>
              <w:top w:val="single" w:sz="2" w:space="0" w:color="000000"/>
              <w:left w:val="single" w:sz="2" w:space="0" w:color="000000"/>
              <w:bottom w:val="single" w:sz="2" w:space="0" w:color="000000"/>
              <w:right w:val="single" w:sz="2" w:space="0" w:color="000000"/>
            </w:tcBorders>
            <w:hideMark/>
          </w:tcPr>
          <w:p w14:paraId="680FAE7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0.014</w:t>
            </w:r>
          </w:p>
        </w:tc>
        <w:tc>
          <w:tcPr>
            <w:tcW w:w="1037" w:type="dxa"/>
            <w:tcBorders>
              <w:top w:val="single" w:sz="2" w:space="0" w:color="000000"/>
              <w:left w:val="single" w:sz="2" w:space="0" w:color="000000"/>
              <w:bottom w:val="single" w:sz="2" w:space="0" w:color="000000"/>
              <w:right w:val="single" w:sz="2" w:space="0" w:color="000000"/>
            </w:tcBorders>
            <w:hideMark/>
          </w:tcPr>
          <w:p w14:paraId="3CA5112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2.679</w:t>
            </w:r>
          </w:p>
        </w:tc>
        <w:tc>
          <w:tcPr>
            <w:tcW w:w="1012" w:type="dxa"/>
            <w:tcBorders>
              <w:top w:val="single" w:sz="2" w:space="0" w:color="000000"/>
              <w:left w:val="single" w:sz="2" w:space="0" w:color="000000"/>
              <w:bottom w:val="single" w:sz="2" w:space="0" w:color="000000"/>
              <w:right w:val="single" w:sz="2" w:space="0" w:color="000000"/>
            </w:tcBorders>
            <w:hideMark/>
          </w:tcPr>
          <w:p w14:paraId="238EE92B"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0.007</w:t>
            </w:r>
          </w:p>
        </w:tc>
      </w:tr>
      <w:tr w:rsidR="009832C0" w:rsidRPr="00CD2F5C" w14:paraId="79A7D5DD"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1179FC2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Trouble relaxing X CRP</w:t>
            </w:r>
          </w:p>
        </w:tc>
        <w:tc>
          <w:tcPr>
            <w:tcW w:w="1105" w:type="dxa"/>
            <w:tcBorders>
              <w:top w:val="single" w:sz="2" w:space="0" w:color="000000"/>
              <w:left w:val="single" w:sz="2" w:space="0" w:color="000000"/>
              <w:bottom w:val="single" w:sz="2" w:space="0" w:color="000000"/>
              <w:right w:val="single" w:sz="2" w:space="0" w:color="000000"/>
            </w:tcBorders>
            <w:hideMark/>
          </w:tcPr>
          <w:p w14:paraId="0FCC3D5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− 0.009</w:t>
            </w:r>
          </w:p>
        </w:tc>
        <w:tc>
          <w:tcPr>
            <w:tcW w:w="1170" w:type="dxa"/>
            <w:tcBorders>
              <w:top w:val="single" w:sz="2" w:space="0" w:color="000000"/>
              <w:left w:val="single" w:sz="2" w:space="0" w:color="000000"/>
              <w:bottom w:val="single" w:sz="2" w:space="0" w:color="000000"/>
              <w:right w:val="single" w:sz="2" w:space="0" w:color="000000"/>
            </w:tcBorders>
            <w:hideMark/>
          </w:tcPr>
          <w:p w14:paraId="295AEBA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0.008</w:t>
            </w:r>
          </w:p>
        </w:tc>
        <w:tc>
          <w:tcPr>
            <w:tcW w:w="1037" w:type="dxa"/>
            <w:tcBorders>
              <w:top w:val="single" w:sz="2" w:space="0" w:color="000000"/>
              <w:left w:val="single" w:sz="2" w:space="0" w:color="000000"/>
              <w:bottom w:val="single" w:sz="2" w:space="0" w:color="000000"/>
              <w:right w:val="single" w:sz="2" w:space="0" w:color="000000"/>
            </w:tcBorders>
            <w:hideMark/>
          </w:tcPr>
          <w:p w14:paraId="200F61D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− 1.133</w:t>
            </w:r>
          </w:p>
        </w:tc>
        <w:tc>
          <w:tcPr>
            <w:tcW w:w="1012" w:type="dxa"/>
            <w:tcBorders>
              <w:top w:val="single" w:sz="2" w:space="0" w:color="000000"/>
              <w:left w:val="single" w:sz="2" w:space="0" w:color="000000"/>
              <w:bottom w:val="single" w:sz="2" w:space="0" w:color="000000"/>
              <w:right w:val="single" w:sz="2" w:space="0" w:color="000000"/>
            </w:tcBorders>
            <w:hideMark/>
          </w:tcPr>
          <w:p w14:paraId="0928B4A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0.257</w:t>
            </w:r>
          </w:p>
        </w:tc>
      </w:tr>
      <w:tr w:rsidR="009832C0" w:rsidRPr="00CD2F5C" w14:paraId="6AE11332"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36C4860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Muscle symptoms X CRP</w:t>
            </w:r>
          </w:p>
        </w:tc>
        <w:tc>
          <w:tcPr>
            <w:tcW w:w="1105" w:type="dxa"/>
            <w:tcBorders>
              <w:top w:val="single" w:sz="2" w:space="0" w:color="000000"/>
              <w:left w:val="single" w:sz="2" w:space="0" w:color="000000"/>
              <w:bottom w:val="single" w:sz="2" w:space="0" w:color="000000"/>
              <w:right w:val="single" w:sz="2" w:space="0" w:color="000000"/>
            </w:tcBorders>
            <w:hideMark/>
          </w:tcPr>
          <w:p w14:paraId="2C55C4F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0.005</w:t>
            </w:r>
          </w:p>
        </w:tc>
        <w:tc>
          <w:tcPr>
            <w:tcW w:w="1170" w:type="dxa"/>
            <w:tcBorders>
              <w:top w:val="single" w:sz="2" w:space="0" w:color="000000"/>
              <w:left w:val="single" w:sz="2" w:space="0" w:color="000000"/>
              <w:bottom w:val="single" w:sz="2" w:space="0" w:color="000000"/>
              <w:right w:val="single" w:sz="2" w:space="0" w:color="000000"/>
            </w:tcBorders>
            <w:hideMark/>
          </w:tcPr>
          <w:p w14:paraId="7172AB3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0.012</w:t>
            </w:r>
          </w:p>
        </w:tc>
        <w:tc>
          <w:tcPr>
            <w:tcW w:w="1037" w:type="dxa"/>
            <w:tcBorders>
              <w:top w:val="single" w:sz="2" w:space="0" w:color="000000"/>
              <w:left w:val="single" w:sz="2" w:space="0" w:color="000000"/>
              <w:bottom w:val="single" w:sz="2" w:space="0" w:color="000000"/>
              <w:right w:val="single" w:sz="2" w:space="0" w:color="000000"/>
            </w:tcBorders>
            <w:hideMark/>
          </w:tcPr>
          <w:p w14:paraId="5720767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0.391</w:t>
            </w:r>
          </w:p>
        </w:tc>
        <w:tc>
          <w:tcPr>
            <w:tcW w:w="1012" w:type="dxa"/>
            <w:tcBorders>
              <w:top w:val="single" w:sz="2" w:space="0" w:color="000000"/>
              <w:left w:val="single" w:sz="2" w:space="0" w:color="000000"/>
              <w:bottom w:val="single" w:sz="2" w:space="0" w:color="000000"/>
              <w:right w:val="single" w:sz="2" w:space="0" w:color="000000"/>
            </w:tcBorders>
            <w:hideMark/>
          </w:tcPr>
          <w:p w14:paraId="136D805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0.696</w:t>
            </w:r>
          </w:p>
        </w:tc>
      </w:tr>
      <w:tr w:rsidR="009832C0" w:rsidRPr="00CD2F5C" w14:paraId="59AD5053"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57AA489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Felt hated X CRP</w:t>
            </w:r>
          </w:p>
        </w:tc>
        <w:tc>
          <w:tcPr>
            <w:tcW w:w="1105" w:type="dxa"/>
            <w:tcBorders>
              <w:top w:val="single" w:sz="2" w:space="0" w:color="000000"/>
              <w:left w:val="single" w:sz="2" w:space="0" w:color="000000"/>
              <w:bottom w:val="single" w:sz="2" w:space="0" w:color="000000"/>
              <w:right w:val="single" w:sz="2" w:space="0" w:color="000000"/>
            </w:tcBorders>
            <w:hideMark/>
          </w:tcPr>
          <w:p w14:paraId="3AAFCA8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− 0.003</w:t>
            </w:r>
          </w:p>
        </w:tc>
        <w:tc>
          <w:tcPr>
            <w:tcW w:w="1170" w:type="dxa"/>
            <w:tcBorders>
              <w:top w:val="single" w:sz="2" w:space="0" w:color="000000"/>
              <w:left w:val="single" w:sz="2" w:space="0" w:color="000000"/>
              <w:bottom w:val="single" w:sz="2" w:space="0" w:color="000000"/>
              <w:right w:val="single" w:sz="2" w:space="0" w:color="000000"/>
            </w:tcBorders>
            <w:hideMark/>
          </w:tcPr>
          <w:p w14:paraId="04FA938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0.009</w:t>
            </w:r>
          </w:p>
        </w:tc>
        <w:tc>
          <w:tcPr>
            <w:tcW w:w="1037" w:type="dxa"/>
            <w:tcBorders>
              <w:top w:val="single" w:sz="2" w:space="0" w:color="000000"/>
              <w:left w:val="single" w:sz="2" w:space="0" w:color="000000"/>
              <w:bottom w:val="single" w:sz="2" w:space="0" w:color="000000"/>
              <w:right w:val="single" w:sz="2" w:space="0" w:color="000000"/>
            </w:tcBorders>
            <w:hideMark/>
          </w:tcPr>
          <w:p w14:paraId="1BFAC27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− 0.393</w:t>
            </w:r>
          </w:p>
        </w:tc>
        <w:tc>
          <w:tcPr>
            <w:tcW w:w="1012" w:type="dxa"/>
            <w:tcBorders>
              <w:top w:val="single" w:sz="2" w:space="0" w:color="000000"/>
              <w:left w:val="single" w:sz="2" w:space="0" w:color="000000"/>
              <w:bottom w:val="single" w:sz="2" w:space="0" w:color="000000"/>
              <w:right w:val="single" w:sz="2" w:space="0" w:color="000000"/>
            </w:tcBorders>
            <w:hideMark/>
          </w:tcPr>
          <w:p w14:paraId="7E0324F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0.694</w:t>
            </w:r>
          </w:p>
        </w:tc>
      </w:tr>
      <w:tr w:rsidR="009832C0" w:rsidRPr="00CD2F5C" w14:paraId="3CE73605"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68EF5618"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Physically abused X CRP</w:t>
            </w:r>
          </w:p>
        </w:tc>
        <w:tc>
          <w:tcPr>
            <w:tcW w:w="1105" w:type="dxa"/>
            <w:tcBorders>
              <w:top w:val="single" w:sz="2" w:space="0" w:color="000000"/>
              <w:left w:val="single" w:sz="2" w:space="0" w:color="000000"/>
              <w:bottom w:val="single" w:sz="2" w:space="0" w:color="000000"/>
              <w:right w:val="single" w:sz="2" w:space="0" w:color="000000"/>
            </w:tcBorders>
            <w:hideMark/>
          </w:tcPr>
          <w:p w14:paraId="40C6BDA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− 0.017</w:t>
            </w:r>
          </w:p>
        </w:tc>
        <w:tc>
          <w:tcPr>
            <w:tcW w:w="1170" w:type="dxa"/>
            <w:tcBorders>
              <w:top w:val="single" w:sz="2" w:space="0" w:color="000000"/>
              <w:left w:val="single" w:sz="2" w:space="0" w:color="000000"/>
              <w:bottom w:val="single" w:sz="2" w:space="0" w:color="000000"/>
              <w:right w:val="single" w:sz="2" w:space="0" w:color="000000"/>
            </w:tcBorders>
            <w:hideMark/>
          </w:tcPr>
          <w:p w14:paraId="236738F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0.005</w:t>
            </w:r>
          </w:p>
        </w:tc>
        <w:tc>
          <w:tcPr>
            <w:tcW w:w="1037" w:type="dxa"/>
            <w:tcBorders>
              <w:top w:val="single" w:sz="2" w:space="0" w:color="000000"/>
              <w:left w:val="single" w:sz="2" w:space="0" w:color="000000"/>
              <w:bottom w:val="single" w:sz="2" w:space="0" w:color="000000"/>
              <w:right w:val="single" w:sz="2" w:space="0" w:color="000000"/>
            </w:tcBorders>
            <w:hideMark/>
          </w:tcPr>
          <w:p w14:paraId="4A02230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− 3.324</w:t>
            </w:r>
          </w:p>
        </w:tc>
        <w:tc>
          <w:tcPr>
            <w:tcW w:w="1012" w:type="dxa"/>
            <w:tcBorders>
              <w:top w:val="single" w:sz="2" w:space="0" w:color="000000"/>
              <w:left w:val="single" w:sz="2" w:space="0" w:color="000000"/>
              <w:bottom w:val="single" w:sz="2" w:space="0" w:color="000000"/>
              <w:right w:val="single" w:sz="2" w:space="0" w:color="000000"/>
            </w:tcBorders>
            <w:hideMark/>
          </w:tcPr>
          <w:p w14:paraId="4F0639E0"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0.001</w:t>
            </w:r>
          </w:p>
        </w:tc>
      </w:tr>
      <w:tr w:rsidR="009832C0" w:rsidRPr="00CD2F5C" w14:paraId="61C10A4E"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0D102A0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Sexually abused X CRP</w:t>
            </w:r>
          </w:p>
        </w:tc>
        <w:tc>
          <w:tcPr>
            <w:tcW w:w="1105" w:type="dxa"/>
            <w:tcBorders>
              <w:top w:val="single" w:sz="2" w:space="0" w:color="000000"/>
              <w:left w:val="single" w:sz="2" w:space="0" w:color="000000"/>
              <w:bottom w:val="single" w:sz="2" w:space="0" w:color="000000"/>
              <w:right w:val="single" w:sz="2" w:space="0" w:color="000000"/>
            </w:tcBorders>
            <w:hideMark/>
          </w:tcPr>
          <w:p w14:paraId="4028D13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− 0.023</w:t>
            </w:r>
          </w:p>
        </w:tc>
        <w:tc>
          <w:tcPr>
            <w:tcW w:w="1170" w:type="dxa"/>
            <w:tcBorders>
              <w:top w:val="single" w:sz="2" w:space="0" w:color="000000"/>
              <w:left w:val="single" w:sz="2" w:space="0" w:color="000000"/>
              <w:bottom w:val="single" w:sz="2" w:space="0" w:color="000000"/>
              <w:right w:val="single" w:sz="2" w:space="0" w:color="000000"/>
            </w:tcBorders>
            <w:hideMark/>
          </w:tcPr>
          <w:p w14:paraId="78EFFFA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0.011</w:t>
            </w:r>
          </w:p>
        </w:tc>
        <w:tc>
          <w:tcPr>
            <w:tcW w:w="1037" w:type="dxa"/>
            <w:tcBorders>
              <w:top w:val="single" w:sz="2" w:space="0" w:color="000000"/>
              <w:left w:val="single" w:sz="2" w:space="0" w:color="000000"/>
              <w:bottom w:val="single" w:sz="2" w:space="0" w:color="000000"/>
              <w:right w:val="single" w:sz="2" w:space="0" w:color="000000"/>
            </w:tcBorders>
            <w:hideMark/>
          </w:tcPr>
          <w:p w14:paraId="2A308CF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− 2.113</w:t>
            </w:r>
          </w:p>
        </w:tc>
        <w:tc>
          <w:tcPr>
            <w:tcW w:w="1012" w:type="dxa"/>
            <w:tcBorders>
              <w:top w:val="single" w:sz="2" w:space="0" w:color="000000"/>
              <w:left w:val="single" w:sz="2" w:space="0" w:color="000000"/>
              <w:bottom w:val="single" w:sz="2" w:space="0" w:color="000000"/>
              <w:right w:val="single" w:sz="2" w:space="0" w:color="000000"/>
            </w:tcBorders>
            <w:hideMark/>
          </w:tcPr>
          <w:p w14:paraId="239D39D9"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0.035</w:t>
            </w:r>
          </w:p>
        </w:tc>
      </w:tr>
      <w:tr w:rsidR="009832C0" w:rsidRPr="00CD2F5C" w14:paraId="46E3E0BC"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45B52F5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Felt loved X CRP</w:t>
            </w:r>
          </w:p>
        </w:tc>
        <w:tc>
          <w:tcPr>
            <w:tcW w:w="1105" w:type="dxa"/>
            <w:tcBorders>
              <w:top w:val="single" w:sz="2" w:space="0" w:color="000000"/>
              <w:left w:val="single" w:sz="2" w:space="0" w:color="000000"/>
              <w:bottom w:val="single" w:sz="2" w:space="0" w:color="000000"/>
              <w:right w:val="single" w:sz="2" w:space="0" w:color="000000"/>
            </w:tcBorders>
            <w:hideMark/>
          </w:tcPr>
          <w:p w14:paraId="52E5469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− 0.003</w:t>
            </w:r>
          </w:p>
        </w:tc>
        <w:tc>
          <w:tcPr>
            <w:tcW w:w="1170" w:type="dxa"/>
            <w:tcBorders>
              <w:top w:val="single" w:sz="2" w:space="0" w:color="000000"/>
              <w:left w:val="single" w:sz="2" w:space="0" w:color="000000"/>
              <w:bottom w:val="single" w:sz="2" w:space="0" w:color="000000"/>
              <w:right w:val="single" w:sz="2" w:space="0" w:color="000000"/>
            </w:tcBorders>
            <w:hideMark/>
          </w:tcPr>
          <w:p w14:paraId="40D1D49D"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0.004</w:t>
            </w:r>
          </w:p>
        </w:tc>
        <w:tc>
          <w:tcPr>
            <w:tcW w:w="1037" w:type="dxa"/>
            <w:tcBorders>
              <w:top w:val="single" w:sz="2" w:space="0" w:color="000000"/>
              <w:left w:val="single" w:sz="2" w:space="0" w:color="000000"/>
              <w:bottom w:val="single" w:sz="2" w:space="0" w:color="000000"/>
              <w:right w:val="single" w:sz="2" w:space="0" w:color="000000"/>
            </w:tcBorders>
            <w:hideMark/>
          </w:tcPr>
          <w:p w14:paraId="4CD668F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− 0.608</w:t>
            </w:r>
          </w:p>
        </w:tc>
        <w:tc>
          <w:tcPr>
            <w:tcW w:w="1012" w:type="dxa"/>
            <w:tcBorders>
              <w:top w:val="single" w:sz="2" w:space="0" w:color="000000"/>
              <w:left w:val="single" w:sz="2" w:space="0" w:color="000000"/>
              <w:bottom w:val="single" w:sz="2" w:space="0" w:color="000000"/>
              <w:right w:val="single" w:sz="2" w:space="0" w:color="000000"/>
            </w:tcBorders>
            <w:hideMark/>
          </w:tcPr>
          <w:p w14:paraId="5886CFE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0.543</w:t>
            </w:r>
          </w:p>
        </w:tc>
      </w:tr>
      <w:tr w:rsidR="009832C0" w:rsidRPr="00CD2F5C" w14:paraId="13D2942F"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2F316F2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Taken to doctor if needed X CRP</w:t>
            </w:r>
          </w:p>
        </w:tc>
        <w:tc>
          <w:tcPr>
            <w:tcW w:w="1105" w:type="dxa"/>
            <w:tcBorders>
              <w:top w:val="single" w:sz="2" w:space="0" w:color="000000"/>
              <w:left w:val="single" w:sz="2" w:space="0" w:color="000000"/>
              <w:bottom w:val="single" w:sz="2" w:space="0" w:color="000000"/>
              <w:right w:val="single" w:sz="2" w:space="0" w:color="000000"/>
            </w:tcBorders>
            <w:hideMark/>
          </w:tcPr>
          <w:p w14:paraId="16810ED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0.009</w:t>
            </w:r>
          </w:p>
        </w:tc>
        <w:tc>
          <w:tcPr>
            <w:tcW w:w="1170" w:type="dxa"/>
            <w:tcBorders>
              <w:top w:val="single" w:sz="2" w:space="0" w:color="000000"/>
              <w:left w:val="single" w:sz="2" w:space="0" w:color="000000"/>
              <w:bottom w:val="single" w:sz="2" w:space="0" w:color="000000"/>
              <w:right w:val="single" w:sz="2" w:space="0" w:color="000000"/>
            </w:tcBorders>
            <w:hideMark/>
          </w:tcPr>
          <w:p w14:paraId="7024383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0.004</w:t>
            </w:r>
          </w:p>
        </w:tc>
        <w:tc>
          <w:tcPr>
            <w:tcW w:w="1037" w:type="dxa"/>
            <w:tcBorders>
              <w:top w:val="single" w:sz="2" w:space="0" w:color="000000"/>
              <w:left w:val="single" w:sz="2" w:space="0" w:color="000000"/>
              <w:bottom w:val="single" w:sz="2" w:space="0" w:color="000000"/>
              <w:right w:val="single" w:sz="2" w:space="0" w:color="000000"/>
            </w:tcBorders>
            <w:hideMark/>
          </w:tcPr>
          <w:p w14:paraId="388E2A9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2.404</w:t>
            </w:r>
          </w:p>
        </w:tc>
        <w:tc>
          <w:tcPr>
            <w:tcW w:w="1012" w:type="dxa"/>
            <w:tcBorders>
              <w:top w:val="single" w:sz="2" w:space="0" w:color="000000"/>
              <w:left w:val="single" w:sz="2" w:space="0" w:color="000000"/>
              <w:bottom w:val="single" w:sz="2" w:space="0" w:color="000000"/>
              <w:right w:val="single" w:sz="2" w:space="0" w:color="000000"/>
            </w:tcBorders>
            <w:hideMark/>
          </w:tcPr>
          <w:p w14:paraId="4105BA8D"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0.016</w:t>
            </w:r>
          </w:p>
        </w:tc>
      </w:tr>
      <w:tr w:rsidR="009832C0" w:rsidRPr="00CD2F5C" w14:paraId="6408DD39"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108B843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Trouble relaxing x sexually abused X CRP</w:t>
            </w:r>
          </w:p>
        </w:tc>
        <w:tc>
          <w:tcPr>
            <w:tcW w:w="1105" w:type="dxa"/>
            <w:tcBorders>
              <w:top w:val="single" w:sz="2" w:space="0" w:color="000000"/>
              <w:left w:val="single" w:sz="2" w:space="0" w:color="000000"/>
              <w:bottom w:val="single" w:sz="2" w:space="0" w:color="000000"/>
              <w:right w:val="single" w:sz="2" w:space="0" w:color="000000"/>
            </w:tcBorders>
            <w:hideMark/>
          </w:tcPr>
          <w:p w14:paraId="535B6A0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0.002</w:t>
            </w:r>
          </w:p>
        </w:tc>
        <w:tc>
          <w:tcPr>
            <w:tcW w:w="1170" w:type="dxa"/>
            <w:tcBorders>
              <w:top w:val="single" w:sz="2" w:space="0" w:color="000000"/>
              <w:left w:val="single" w:sz="2" w:space="0" w:color="000000"/>
              <w:bottom w:val="single" w:sz="2" w:space="0" w:color="000000"/>
              <w:right w:val="single" w:sz="2" w:space="0" w:color="000000"/>
            </w:tcBorders>
            <w:hideMark/>
          </w:tcPr>
          <w:p w14:paraId="7500402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0.004</w:t>
            </w:r>
          </w:p>
        </w:tc>
        <w:tc>
          <w:tcPr>
            <w:tcW w:w="1037" w:type="dxa"/>
            <w:tcBorders>
              <w:top w:val="single" w:sz="2" w:space="0" w:color="000000"/>
              <w:left w:val="single" w:sz="2" w:space="0" w:color="000000"/>
              <w:bottom w:val="single" w:sz="2" w:space="0" w:color="000000"/>
              <w:right w:val="single" w:sz="2" w:space="0" w:color="000000"/>
            </w:tcBorders>
            <w:hideMark/>
          </w:tcPr>
          <w:p w14:paraId="25AAD4D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0.577</w:t>
            </w:r>
          </w:p>
        </w:tc>
        <w:tc>
          <w:tcPr>
            <w:tcW w:w="1012" w:type="dxa"/>
            <w:tcBorders>
              <w:top w:val="single" w:sz="2" w:space="0" w:color="000000"/>
              <w:left w:val="single" w:sz="2" w:space="0" w:color="000000"/>
              <w:bottom w:val="single" w:sz="2" w:space="0" w:color="000000"/>
              <w:right w:val="single" w:sz="2" w:space="0" w:color="000000"/>
            </w:tcBorders>
            <w:hideMark/>
          </w:tcPr>
          <w:p w14:paraId="25B3211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0.564</w:t>
            </w:r>
          </w:p>
        </w:tc>
      </w:tr>
      <w:tr w:rsidR="009832C0" w:rsidRPr="00CD2F5C" w14:paraId="0B602F8F"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431BAF3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Physically abused x sexually abused X CRP</w:t>
            </w:r>
          </w:p>
        </w:tc>
        <w:tc>
          <w:tcPr>
            <w:tcW w:w="1105" w:type="dxa"/>
            <w:tcBorders>
              <w:top w:val="single" w:sz="2" w:space="0" w:color="000000"/>
              <w:left w:val="single" w:sz="2" w:space="0" w:color="000000"/>
              <w:bottom w:val="single" w:sz="2" w:space="0" w:color="000000"/>
              <w:right w:val="single" w:sz="2" w:space="0" w:color="000000"/>
            </w:tcBorders>
            <w:hideMark/>
          </w:tcPr>
          <w:p w14:paraId="181CE2B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0.019</w:t>
            </w:r>
          </w:p>
        </w:tc>
        <w:tc>
          <w:tcPr>
            <w:tcW w:w="1170" w:type="dxa"/>
            <w:tcBorders>
              <w:top w:val="single" w:sz="2" w:space="0" w:color="000000"/>
              <w:left w:val="single" w:sz="2" w:space="0" w:color="000000"/>
              <w:bottom w:val="single" w:sz="2" w:space="0" w:color="000000"/>
              <w:right w:val="single" w:sz="2" w:space="0" w:color="000000"/>
            </w:tcBorders>
            <w:hideMark/>
          </w:tcPr>
          <w:p w14:paraId="2731456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0.005</w:t>
            </w:r>
          </w:p>
        </w:tc>
        <w:tc>
          <w:tcPr>
            <w:tcW w:w="1037" w:type="dxa"/>
            <w:tcBorders>
              <w:top w:val="single" w:sz="2" w:space="0" w:color="000000"/>
              <w:left w:val="single" w:sz="2" w:space="0" w:color="000000"/>
              <w:bottom w:val="single" w:sz="2" w:space="0" w:color="000000"/>
              <w:right w:val="single" w:sz="2" w:space="0" w:color="000000"/>
            </w:tcBorders>
            <w:hideMark/>
          </w:tcPr>
          <w:p w14:paraId="283FE3C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3.970</w:t>
            </w:r>
          </w:p>
        </w:tc>
        <w:tc>
          <w:tcPr>
            <w:tcW w:w="1012" w:type="dxa"/>
            <w:tcBorders>
              <w:top w:val="single" w:sz="2" w:space="0" w:color="000000"/>
              <w:left w:val="single" w:sz="2" w:space="0" w:color="000000"/>
              <w:bottom w:val="single" w:sz="2" w:space="0" w:color="000000"/>
              <w:right w:val="single" w:sz="2" w:space="0" w:color="000000"/>
            </w:tcBorders>
            <w:hideMark/>
          </w:tcPr>
          <w:p w14:paraId="3612D41D"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 &lt; 0.001</w:t>
            </w:r>
          </w:p>
        </w:tc>
      </w:tr>
      <w:tr w:rsidR="009832C0" w:rsidRPr="00CD2F5C" w14:paraId="73E60990"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040D3E5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Muscle symptoms x physically abused X CRP</w:t>
            </w:r>
          </w:p>
        </w:tc>
        <w:tc>
          <w:tcPr>
            <w:tcW w:w="1105" w:type="dxa"/>
            <w:tcBorders>
              <w:top w:val="single" w:sz="2" w:space="0" w:color="000000"/>
              <w:left w:val="single" w:sz="2" w:space="0" w:color="000000"/>
              <w:bottom w:val="single" w:sz="2" w:space="0" w:color="000000"/>
              <w:right w:val="single" w:sz="2" w:space="0" w:color="000000"/>
            </w:tcBorders>
            <w:hideMark/>
          </w:tcPr>
          <w:p w14:paraId="0B1C7A3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0.013</w:t>
            </w:r>
          </w:p>
        </w:tc>
        <w:tc>
          <w:tcPr>
            <w:tcW w:w="1170" w:type="dxa"/>
            <w:tcBorders>
              <w:top w:val="single" w:sz="2" w:space="0" w:color="000000"/>
              <w:left w:val="single" w:sz="2" w:space="0" w:color="000000"/>
              <w:bottom w:val="single" w:sz="2" w:space="0" w:color="000000"/>
              <w:right w:val="single" w:sz="2" w:space="0" w:color="000000"/>
            </w:tcBorders>
            <w:hideMark/>
          </w:tcPr>
          <w:p w14:paraId="5E88C90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0.010</w:t>
            </w:r>
          </w:p>
        </w:tc>
        <w:tc>
          <w:tcPr>
            <w:tcW w:w="1037" w:type="dxa"/>
            <w:tcBorders>
              <w:top w:val="single" w:sz="2" w:space="0" w:color="000000"/>
              <w:left w:val="single" w:sz="2" w:space="0" w:color="000000"/>
              <w:bottom w:val="single" w:sz="2" w:space="0" w:color="000000"/>
              <w:right w:val="single" w:sz="2" w:space="0" w:color="000000"/>
            </w:tcBorders>
            <w:hideMark/>
          </w:tcPr>
          <w:p w14:paraId="4094C47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1.348</w:t>
            </w:r>
          </w:p>
        </w:tc>
        <w:tc>
          <w:tcPr>
            <w:tcW w:w="1012" w:type="dxa"/>
            <w:tcBorders>
              <w:top w:val="single" w:sz="2" w:space="0" w:color="000000"/>
              <w:left w:val="single" w:sz="2" w:space="0" w:color="000000"/>
              <w:bottom w:val="single" w:sz="2" w:space="0" w:color="000000"/>
              <w:right w:val="single" w:sz="2" w:space="0" w:color="000000"/>
            </w:tcBorders>
            <w:hideMark/>
          </w:tcPr>
          <w:p w14:paraId="26430365"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0.178</w:t>
            </w:r>
          </w:p>
        </w:tc>
      </w:tr>
      <w:tr w:rsidR="009832C0" w:rsidRPr="00CD2F5C" w14:paraId="07AA735B"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5B09CB4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Has informed a professional about anxiety X felt hated X CRP</w:t>
            </w:r>
          </w:p>
        </w:tc>
        <w:tc>
          <w:tcPr>
            <w:tcW w:w="1105" w:type="dxa"/>
            <w:tcBorders>
              <w:top w:val="single" w:sz="2" w:space="0" w:color="000000"/>
              <w:left w:val="single" w:sz="2" w:space="0" w:color="000000"/>
              <w:bottom w:val="single" w:sz="2" w:space="0" w:color="000000"/>
              <w:right w:val="single" w:sz="2" w:space="0" w:color="000000"/>
            </w:tcBorders>
            <w:hideMark/>
          </w:tcPr>
          <w:p w14:paraId="21C8474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− 0.018</w:t>
            </w:r>
          </w:p>
        </w:tc>
        <w:tc>
          <w:tcPr>
            <w:tcW w:w="1170" w:type="dxa"/>
            <w:tcBorders>
              <w:top w:val="single" w:sz="2" w:space="0" w:color="000000"/>
              <w:left w:val="single" w:sz="2" w:space="0" w:color="000000"/>
              <w:bottom w:val="single" w:sz="2" w:space="0" w:color="000000"/>
              <w:right w:val="single" w:sz="2" w:space="0" w:color="000000"/>
            </w:tcBorders>
            <w:hideMark/>
          </w:tcPr>
          <w:p w14:paraId="1B63122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0.008</w:t>
            </w:r>
          </w:p>
        </w:tc>
        <w:tc>
          <w:tcPr>
            <w:tcW w:w="1037" w:type="dxa"/>
            <w:tcBorders>
              <w:top w:val="single" w:sz="2" w:space="0" w:color="000000"/>
              <w:left w:val="single" w:sz="2" w:space="0" w:color="000000"/>
              <w:bottom w:val="single" w:sz="2" w:space="0" w:color="000000"/>
              <w:right w:val="single" w:sz="2" w:space="0" w:color="000000"/>
            </w:tcBorders>
            <w:hideMark/>
          </w:tcPr>
          <w:p w14:paraId="42BC7E8B"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− 2.150</w:t>
            </w:r>
          </w:p>
        </w:tc>
        <w:tc>
          <w:tcPr>
            <w:tcW w:w="1012" w:type="dxa"/>
            <w:tcBorders>
              <w:top w:val="single" w:sz="2" w:space="0" w:color="000000"/>
              <w:left w:val="single" w:sz="2" w:space="0" w:color="000000"/>
              <w:bottom w:val="single" w:sz="2" w:space="0" w:color="000000"/>
              <w:right w:val="single" w:sz="2" w:space="0" w:color="000000"/>
            </w:tcBorders>
            <w:hideMark/>
          </w:tcPr>
          <w:p w14:paraId="544F778E"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0.032</w:t>
            </w:r>
          </w:p>
        </w:tc>
      </w:tr>
      <w:tr w:rsidR="009832C0" w:rsidRPr="00CD2F5C" w14:paraId="55FD4E27" w14:textId="77777777" w:rsidTr="006417A0">
        <w:trPr>
          <w:trHeight w:val="232"/>
        </w:trPr>
        <w:tc>
          <w:tcPr>
            <w:tcW w:w="4742" w:type="dxa"/>
            <w:tcBorders>
              <w:top w:val="single" w:sz="2" w:space="0" w:color="000000"/>
              <w:left w:val="single" w:sz="2" w:space="0" w:color="000000"/>
              <w:bottom w:val="single" w:sz="2" w:space="0" w:color="000000"/>
              <w:right w:val="single" w:sz="2" w:space="0" w:color="000000"/>
            </w:tcBorders>
            <w:hideMark/>
          </w:tcPr>
          <w:p w14:paraId="31182BB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Trouble relaxing X felt hated X CRP</w:t>
            </w:r>
          </w:p>
        </w:tc>
        <w:tc>
          <w:tcPr>
            <w:tcW w:w="1105" w:type="dxa"/>
            <w:tcBorders>
              <w:top w:val="single" w:sz="2" w:space="0" w:color="000000"/>
              <w:left w:val="single" w:sz="2" w:space="0" w:color="000000"/>
              <w:bottom w:val="single" w:sz="2" w:space="0" w:color="000000"/>
              <w:right w:val="single" w:sz="2" w:space="0" w:color="000000"/>
            </w:tcBorders>
            <w:hideMark/>
          </w:tcPr>
          <w:p w14:paraId="07512A01"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0.003</w:t>
            </w:r>
          </w:p>
        </w:tc>
        <w:tc>
          <w:tcPr>
            <w:tcW w:w="1170" w:type="dxa"/>
            <w:tcBorders>
              <w:top w:val="single" w:sz="2" w:space="0" w:color="000000"/>
              <w:left w:val="single" w:sz="2" w:space="0" w:color="000000"/>
              <w:bottom w:val="single" w:sz="2" w:space="0" w:color="000000"/>
              <w:right w:val="single" w:sz="2" w:space="0" w:color="000000"/>
            </w:tcBorders>
            <w:hideMark/>
          </w:tcPr>
          <w:p w14:paraId="4FC50FC6"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0.004</w:t>
            </w:r>
          </w:p>
        </w:tc>
        <w:tc>
          <w:tcPr>
            <w:tcW w:w="1037" w:type="dxa"/>
            <w:tcBorders>
              <w:top w:val="single" w:sz="2" w:space="0" w:color="000000"/>
              <w:left w:val="single" w:sz="2" w:space="0" w:color="000000"/>
              <w:bottom w:val="single" w:sz="2" w:space="0" w:color="000000"/>
              <w:right w:val="single" w:sz="2" w:space="0" w:color="000000"/>
            </w:tcBorders>
            <w:hideMark/>
          </w:tcPr>
          <w:p w14:paraId="55FB0D99"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0.636</w:t>
            </w:r>
          </w:p>
        </w:tc>
        <w:tc>
          <w:tcPr>
            <w:tcW w:w="1012" w:type="dxa"/>
            <w:tcBorders>
              <w:top w:val="single" w:sz="2" w:space="0" w:color="000000"/>
              <w:left w:val="single" w:sz="2" w:space="0" w:color="000000"/>
              <w:bottom w:val="single" w:sz="2" w:space="0" w:color="000000"/>
              <w:right w:val="single" w:sz="2" w:space="0" w:color="000000"/>
            </w:tcBorders>
            <w:hideMark/>
          </w:tcPr>
          <w:p w14:paraId="1B458B4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0.525</w:t>
            </w:r>
          </w:p>
        </w:tc>
      </w:tr>
    </w:tbl>
    <w:p w14:paraId="71AC17D0"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Analysis notes: dependent variable: number of instances of pain reported through the years. N = 2007. Null deviance: 3022.5 on 2006 degrees of freedom. Residual deviance: 2764.4 on 1979 degrees of freedom. AIC: 8351. Significant values are in bold.</w:t>
      </w:r>
    </w:p>
    <w:p w14:paraId="721A8B1C" w14:textId="77777777" w:rsidR="009832C0" w:rsidRPr="00CD2F5C" w:rsidRDefault="009832C0" w:rsidP="002B0F75">
      <w:pPr>
        <w:spacing w:line="360" w:lineRule="auto"/>
        <w:rPr>
          <w:rFonts w:ascii="Cambria" w:hAnsi="Cambria"/>
          <w:i/>
          <w:sz w:val="24"/>
          <w:szCs w:val="24"/>
        </w:rPr>
      </w:pPr>
      <w:r w:rsidRPr="00CD2F5C">
        <w:rPr>
          <w:rFonts w:ascii="Cambria" w:hAnsi="Cambria"/>
          <w:i/>
          <w:sz w:val="24"/>
          <w:szCs w:val="24"/>
        </w:rPr>
        <w:t>Interactions with CRP</w:t>
      </w:r>
    </w:p>
    <w:p w14:paraId="7F579772"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Interestingly, CRP was a stronger predictor for patients who reported never having experienced physical abuse (Fig. 2B). The more frequently physical abuse was experienced or reported, the weaker the relationship between chronic pain and CRP became, eventually </w:t>
      </w:r>
      <w:r w:rsidRPr="00CD2F5C">
        <w:rPr>
          <w:rFonts w:ascii="Cambria" w:hAnsi="Cambria"/>
          <w:sz w:val="24"/>
          <w:szCs w:val="24"/>
        </w:rPr>
        <w:lastRenderedPageBreak/>
        <w:t>undergoing an inversion. Similar to the interaction results of physical abuse, CRP was a stronger predictor for patients who were not exposed to sexual abuse as children (Fig. 2C). As the frequency of sexual abuse increased, CRP levels appeared to become less of a deciding factor.</w:t>
      </w:r>
    </w:p>
    <w:p w14:paraId="5E59EE5E"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There was a substantial divide in the effect of CRP on chronic pain, as displayed in Fig. 2A, depending on the availability of doctor visits during childhood. For patients who had low or infrequent availability to visit the doctor when needed as children, higher CRP levels tended to decrease chronic pain reported during adulthood. In contrast, patients who had a high availability of visiting the doctor when needed showed CRP levels to be a strong predictor of chronic pain in adulthood.</w:t>
      </w:r>
    </w:p>
    <w:p w14:paraId="3B1A7307"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As indicated by Fig. 2D, CRP played a significant role in predicting chronic pain for patients with anxiety (i.e., those who had sought professional help). In comparison, for patients without anxiety or whose anxiety had not driven them to discuss with a professional, CRP gradually lost significance and became a very weak predictor of chronic pain.</w:t>
      </w:r>
    </w:p>
    <w:p w14:paraId="00BB9615" w14:textId="77777777" w:rsidR="009832C0" w:rsidRPr="00CD2F5C" w:rsidRDefault="009832C0" w:rsidP="002B0F75">
      <w:pPr>
        <w:spacing w:line="360" w:lineRule="auto"/>
        <w:rPr>
          <w:rFonts w:ascii="Cambria" w:hAnsi="Cambria"/>
          <w:i/>
          <w:sz w:val="24"/>
          <w:szCs w:val="24"/>
        </w:rPr>
      </w:pPr>
      <w:r w:rsidRPr="00CD2F5C">
        <w:rPr>
          <w:rFonts w:ascii="Cambria" w:hAnsi="Cambria"/>
          <w:i/>
          <w:sz w:val="24"/>
          <w:szCs w:val="24"/>
        </w:rPr>
        <w:t>Three</w:t>
      </w:r>
      <w:r w:rsidRPr="00CD2F5C">
        <w:rPr>
          <w:rFonts w:ascii="Cambria" w:hAnsi="Cambria"/>
          <w:i/>
          <w:sz w:val="24"/>
          <w:szCs w:val="24"/>
        </w:rPr>
        <w:noBreakHyphen/>
        <w:t>way interactions</w:t>
      </w:r>
    </w:p>
    <w:p w14:paraId="3779627F"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As shown in Fig. 3, when both sexual abuse and physical abuse were present in childhood, they greatly potentiated the effect that CRP levels had on chronic pain as a predictor (Fig. 3A). For the final examination, patients who felt hated more frequently as a child were less sensitive to CRP levels as a predictor of chronic pain (Fig. 3B). This interaction, however, only applied to patients who had reported "yes” to having discussed anxiety with a professional. For patients who had reported “no” for having discussed anxiety with a professional, this interaction disappeared.</w:t>
      </w:r>
    </w:p>
    <w:p w14:paraId="46C464D3"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Figure 2.  </w:t>
      </w:r>
      <w:r w:rsidRPr="00CD2F5C">
        <w:rPr>
          <w:rFonts w:ascii="Cambria" w:hAnsi="Cambria"/>
          <w:sz w:val="24"/>
          <w:szCs w:val="24"/>
        </w:rPr>
        <w:t>(</w:t>
      </w:r>
      <w:r w:rsidRPr="00CD2F5C">
        <w:rPr>
          <w:rFonts w:ascii="Cambria" w:hAnsi="Cambria"/>
          <w:b/>
          <w:sz w:val="24"/>
          <w:szCs w:val="24"/>
        </w:rPr>
        <w:t>A</w:t>
      </w:r>
      <w:r w:rsidRPr="00CD2F5C">
        <w:rPr>
          <w:rFonts w:ascii="Cambria" w:hAnsi="Cambria"/>
          <w:sz w:val="24"/>
          <w:szCs w:val="24"/>
        </w:rPr>
        <w:t>) Interaction between being taken to the doctor when needed as a child and CRP as predictors of chronic pain, (</w:t>
      </w:r>
      <w:r w:rsidRPr="00CD2F5C">
        <w:rPr>
          <w:rFonts w:ascii="Cambria" w:hAnsi="Cambria"/>
          <w:b/>
          <w:sz w:val="24"/>
          <w:szCs w:val="24"/>
        </w:rPr>
        <w:t>B</w:t>
      </w:r>
      <w:r w:rsidRPr="00CD2F5C">
        <w:rPr>
          <w:rFonts w:ascii="Cambria" w:hAnsi="Cambria"/>
          <w:sz w:val="24"/>
          <w:szCs w:val="24"/>
        </w:rPr>
        <w:t>) Interaction between experiencing physical abuse as a child and CRP levels as predictors of chronic pain, (</w:t>
      </w:r>
      <w:r w:rsidRPr="00CD2F5C">
        <w:rPr>
          <w:rFonts w:ascii="Cambria" w:hAnsi="Cambria"/>
          <w:b/>
          <w:sz w:val="24"/>
          <w:szCs w:val="24"/>
        </w:rPr>
        <w:t>C</w:t>
      </w:r>
      <w:r w:rsidRPr="00CD2F5C">
        <w:rPr>
          <w:rFonts w:ascii="Cambria" w:hAnsi="Cambria"/>
          <w:sz w:val="24"/>
          <w:szCs w:val="24"/>
        </w:rPr>
        <w:t>) Interaction between experiencing sexual abuse as a child and CRP as predictors of chronic pain, (</w:t>
      </w:r>
      <w:r w:rsidRPr="00CD2F5C">
        <w:rPr>
          <w:rFonts w:ascii="Cambria" w:hAnsi="Cambria"/>
          <w:b/>
          <w:sz w:val="24"/>
          <w:szCs w:val="24"/>
        </w:rPr>
        <w:t>D</w:t>
      </w:r>
      <w:r w:rsidRPr="00CD2F5C">
        <w:rPr>
          <w:rFonts w:ascii="Cambria" w:hAnsi="Cambria"/>
          <w:sz w:val="24"/>
          <w:szCs w:val="24"/>
        </w:rPr>
        <w:t>) Interactions between having informed a professional about anxiety x CRP.</w:t>
      </w:r>
    </w:p>
    <w:p w14:paraId="775CCAEA" w14:textId="77777777" w:rsidR="009832C0" w:rsidRPr="00CD2F5C" w:rsidRDefault="009832C0" w:rsidP="002B0F75">
      <w:pPr>
        <w:spacing w:line="360" w:lineRule="auto"/>
        <w:rPr>
          <w:rFonts w:ascii="Cambria" w:hAnsi="Cambria"/>
          <w:sz w:val="24"/>
          <w:szCs w:val="24"/>
        </w:rPr>
      </w:pPr>
    </w:p>
    <w:p w14:paraId="3DE17229"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lastRenderedPageBreak/>
        <w:drawing>
          <wp:inline distT="0" distB="0" distL="0" distR="0" wp14:anchorId="055014F7" wp14:editId="6C40EC4B">
            <wp:extent cx="5943600" cy="4155440"/>
            <wp:effectExtent l="0" t="0" r="0" b="0"/>
            <wp:docPr id="20122450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155440"/>
                    </a:xfrm>
                    <a:prstGeom prst="rect">
                      <a:avLst/>
                    </a:prstGeom>
                    <a:noFill/>
                    <a:ln>
                      <a:noFill/>
                    </a:ln>
                  </pic:spPr>
                </pic:pic>
              </a:graphicData>
            </a:graphic>
          </wp:inline>
        </w:drawing>
      </w:r>
    </w:p>
    <w:p w14:paraId="0CE5722E" w14:textId="77777777" w:rsidR="009832C0" w:rsidRPr="00CD2F5C" w:rsidRDefault="009832C0" w:rsidP="002B0F75">
      <w:pPr>
        <w:spacing w:line="360" w:lineRule="auto"/>
        <w:rPr>
          <w:rFonts w:ascii="Cambria" w:hAnsi="Cambria"/>
          <w:sz w:val="24"/>
          <w:szCs w:val="24"/>
        </w:rPr>
      </w:pPr>
      <w:r w:rsidRPr="00CD2F5C">
        <w:rPr>
          <w:rFonts w:ascii="Cambria" w:hAnsi="Cambria"/>
          <w:i/>
          <w:sz w:val="24"/>
          <w:szCs w:val="24"/>
        </w:rPr>
        <w:t>Note</w:t>
      </w:r>
      <w:r w:rsidRPr="00CD2F5C">
        <w:rPr>
          <w:rFonts w:ascii="Cambria" w:hAnsi="Cambria"/>
          <w:sz w:val="24"/>
          <w:szCs w:val="24"/>
        </w:rPr>
        <w:t>: 0–4 scale = never–very often true.</w:t>
      </w:r>
    </w:p>
    <w:p w14:paraId="5959F5AC" w14:textId="27529323" w:rsidR="009832C0" w:rsidRPr="00CD2F5C" w:rsidRDefault="009832C0" w:rsidP="1441A89E">
      <w:pPr>
        <w:spacing w:line="360" w:lineRule="auto"/>
        <w:rPr>
          <w:rFonts w:ascii="Cambria" w:hAnsi="Cambria"/>
          <w:i/>
          <w:iCs/>
          <w:sz w:val="24"/>
          <w:szCs w:val="24"/>
        </w:rPr>
      </w:pPr>
      <w:r w:rsidRPr="1441A89E">
        <w:rPr>
          <w:rFonts w:ascii="Cambria" w:hAnsi="Cambria"/>
          <w:i/>
          <w:iCs/>
          <w:sz w:val="24"/>
          <w:szCs w:val="24"/>
        </w:rPr>
        <w:t xml:space="preserve">Simple </w:t>
      </w:r>
      <w:r w:rsidR="2C40CD1C" w:rsidRPr="1441A89E">
        <w:rPr>
          <w:rFonts w:ascii="Cambria" w:hAnsi="Cambria"/>
          <w:i/>
          <w:iCs/>
          <w:sz w:val="24"/>
          <w:szCs w:val="24"/>
        </w:rPr>
        <w:t>socio-demographic</w:t>
      </w:r>
      <w:r w:rsidRPr="1441A89E">
        <w:rPr>
          <w:rFonts w:ascii="Cambria" w:hAnsi="Cambria"/>
          <w:i/>
          <w:iCs/>
          <w:sz w:val="24"/>
          <w:szCs w:val="24"/>
        </w:rPr>
        <w:t xml:space="preserve"> adjusted analysis</w:t>
      </w:r>
    </w:p>
    <w:p w14:paraId="6B32B2B4"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Four socioeconomic variables which had sufficient coverage were available in the UKB dataset: sex (male/female), ever smoked (yes/no), alcohol use status (current, past, never), and age at recruitment (range 40–70 years). The generalized linear mixed-effects model results and corresponding simplified final model were built and compared to identify if the available data on socioeconomic factors affected the model results (see Appendix C for expanded details on the methodology). The linear mixed-effects model included age at recruitment as a random intercept, and the inclusion of a random slope (allowing the variable’s slope to vary with age at recruitment) for each dependent variable was tested. ANOVAs comparing the model with the random slope versus without for a given variable indicated that including a random slope was significant at the 95% level for </w:t>
      </w:r>
      <w:proofErr w:type="spellStart"/>
      <w:r w:rsidRPr="00CD2F5C">
        <w:rPr>
          <w:rFonts w:ascii="Cambria" w:hAnsi="Cambria"/>
          <w:sz w:val="24"/>
          <w:szCs w:val="24"/>
        </w:rPr>
        <w:t>ProfessionalInfoAnxiety</w:t>
      </w:r>
      <w:proofErr w:type="spellEnd"/>
      <w:r w:rsidRPr="00CD2F5C">
        <w:rPr>
          <w:rFonts w:ascii="Cambria" w:hAnsi="Cambria"/>
          <w:sz w:val="24"/>
          <w:szCs w:val="24"/>
        </w:rPr>
        <w:t xml:space="preserve"> (χ</w:t>
      </w:r>
      <w:r w:rsidRPr="00CD2F5C">
        <w:rPr>
          <w:rFonts w:ascii="Cambria" w:hAnsi="Cambria"/>
          <w:sz w:val="24"/>
          <w:szCs w:val="24"/>
          <w:vertAlign w:val="superscript"/>
        </w:rPr>
        <w:t>2</w:t>
      </w:r>
      <w:r w:rsidRPr="00CD2F5C">
        <w:rPr>
          <w:rFonts w:ascii="Cambria" w:hAnsi="Cambria"/>
          <w:sz w:val="24"/>
          <w:szCs w:val="24"/>
        </w:rPr>
        <w:t xml:space="preserve">(2) = 28.439, </w:t>
      </w:r>
      <w:r w:rsidRPr="00CD2F5C">
        <w:rPr>
          <w:rFonts w:ascii="Cambria" w:hAnsi="Cambria"/>
          <w:i/>
          <w:sz w:val="24"/>
          <w:szCs w:val="24"/>
        </w:rPr>
        <w:t>p</w:t>
      </w:r>
      <w:r w:rsidRPr="00CD2F5C">
        <w:rPr>
          <w:rFonts w:ascii="Cambria" w:hAnsi="Cambria"/>
          <w:sz w:val="24"/>
          <w:szCs w:val="24"/>
        </w:rPr>
        <w:t xml:space="preserve"> &lt; 0.001), </w:t>
      </w:r>
      <w:proofErr w:type="spellStart"/>
      <w:r w:rsidRPr="00CD2F5C">
        <w:rPr>
          <w:rFonts w:ascii="Cambria" w:hAnsi="Cambria"/>
          <w:sz w:val="24"/>
          <w:szCs w:val="24"/>
        </w:rPr>
        <w:t>MuscleSymptomsAnxiety</w:t>
      </w:r>
      <w:proofErr w:type="spellEnd"/>
      <w:r w:rsidRPr="00CD2F5C">
        <w:rPr>
          <w:rFonts w:ascii="Cambria" w:hAnsi="Cambria"/>
          <w:sz w:val="24"/>
          <w:szCs w:val="24"/>
        </w:rPr>
        <w:t xml:space="preserve"> (χ</w:t>
      </w:r>
      <w:r w:rsidRPr="00CD2F5C">
        <w:rPr>
          <w:rFonts w:ascii="Cambria" w:hAnsi="Cambria"/>
          <w:sz w:val="24"/>
          <w:szCs w:val="24"/>
          <w:vertAlign w:val="superscript"/>
        </w:rPr>
        <w:t>2</w:t>
      </w:r>
      <w:r w:rsidRPr="00CD2F5C">
        <w:rPr>
          <w:rFonts w:ascii="Cambria" w:hAnsi="Cambria"/>
          <w:sz w:val="24"/>
          <w:szCs w:val="24"/>
        </w:rPr>
        <w:t xml:space="preserve">(2) = 8.0571, </w:t>
      </w:r>
      <w:r w:rsidRPr="00CD2F5C">
        <w:rPr>
          <w:rFonts w:ascii="Cambria" w:hAnsi="Cambria"/>
          <w:i/>
          <w:sz w:val="24"/>
          <w:szCs w:val="24"/>
        </w:rPr>
        <w:t>p</w:t>
      </w:r>
      <w:r w:rsidRPr="00CD2F5C">
        <w:rPr>
          <w:rFonts w:ascii="Cambria" w:hAnsi="Cambria"/>
          <w:sz w:val="24"/>
          <w:szCs w:val="24"/>
        </w:rPr>
        <w:t xml:space="preserve"> = 0.018) and </w:t>
      </w:r>
      <w:proofErr w:type="spellStart"/>
      <w:r w:rsidRPr="00CD2F5C">
        <w:rPr>
          <w:rFonts w:ascii="Cambria" w:hAnsi="Cambria"/>
          <w:sz w:val="24"/>
          <w:szCs w:val="24"/>
        </w:rPr>
        <w:t>PhysicallyAbused</w:t>
      </w:r>
      <w:proofErr w:type="spellEnd"/>
      <w:r w:rsidRPr="00CD2F5C">
        <w:rPr>
          <w:rFonts w:ascii="Cambria" w:hAnsi="Cambria"/>
          <w:sz w:val="24"/>
          <w:szCs w:val="24"/>
        </w:rPr>
        <w:t xml:space="preserve"> (χ</w:t>
      </w:r>
      <w:r w:rsidRPr="00CD2F5C">
        <w:rPr>
          <w:rFonts w:ascii="Cambria" w:hAnsi="Cambria"/>
          <w:sz w:val="24"/>
          <w:szCs w:val="24"/>
          <w:vertAlign w:val="superscript"/>
        </w:rPr>
        <w:t>2</w:t>
      </w:r>
      <w:r w:rsidRPr="00CD2F5C">
        <w:rPr>
          <w:rFonts w:ascii="Cambria" w:hAnsi="Cambria"/>
          <w:sz w:val="24"/>
          <w:szCs w:val="24"/>
        </w:rPr>
        <w:t xml:space="preserve">(2) = 17.409, </w:t>
      </w:r>
      <w:r w:rsidRPr="00CD2F5C">
        <w:rPr>
          <w:rFonts w:ascii="Cambria" w:hAnsi="Cambria"/>
          <w:i/>
          <w:sz w:val="24"/>
          <w:szCs w:val="24"/>
        </w:rPr>
        <w:t>p</w:t>
      </w:r>
      <w:r w:rsidRPr="00CD2F5C">
        <w:rPr>
          <w:rFonts w:ascii="Cambria" w:hAnsi="Cambria"/>
          <w:sz w:val="24"/>
          <w:szCs w:val="24"/>
        </w:rPr>
        <w:t xml:space="preserve"> &lt; 0.001), and thus these were </w:t>
      </w:r>
      <w:r w:rsidRPr="00CD2F5C">
        <w:rPr>
          <w:rFonts w:ascii="Cambria" w:hAnsi="Cambria"/>
          <w:sz w:val="24"/>
          <w:szCs w:val="24"/>
        </w:rPr>
        <w:lastRenderedPageBreak/>
        <w:t>included in the mixed-effects model. Other than the inclusion of socioeconomic control variables for sex, ever smoked, alcohol use, and age at recruitment as a random effect (with the given random slopes) for the mixed-effects model, the models were identical. Although the mixed effects model had a slightly better fit (AIC 8275 for the mixed effects versus AIC for the simplified final model), the coefficient estimates for all variables included in both models was very similar, and almost all variables which had significant coefficients (</w:t>
      </w:r>
      <w:r w:rsidRPr="00CD2F5C">
        <w:rPr>
          <w:rFonts w:ascii="Cambria" w:hAnsi="Cambria"/>
          <w:i/>
          <w:sz w:val="24"/>
          <w:szCs w:val="24"/>
        </w:rPr>
        <w:t>p</w:t>
      </w:r>
      <w:r w:rsidRPr="00CD2F5C">
        <w:rPr>
          <w:rFonts w:ascii="Cambria" w:hAnsi="Cambria"/>
          <w:sz w:val="24"/>
          <w:szCs w:val="24"/>
        </w:rPr>
        <w:t xml:space="preserve"> &lt; 0.05) in the simplified final model also had significant coefficients in the mixed-effects model (with the exception of TakenToDoctorIfNeeded x </w:t>
      </w:r>
      <w:proofErr w:type="spellStart"/>
      <w:r w:rsidRPr="00CD2F5C">
        <w:rPr>
          <w:rFonts w:ascii="Cambria" w:hAnsi="Cambria"/>
          <w:sz w:val="24"/>
          <w:szCs w:val="24"/>
        </w:rPr>
        <w:t>C_ReactiveProtein_avg</w:t>
      </w:r>
      <w:proofErr w:type="spellEnd"/>
      <w:r w:rsidRPr="00CD2F5C">
        <w:rPr>
          <w:rFonts w:ascii="Cambria" w:hAnsi="Cambria"/>
          <w:sz w:val="24"/>
          <w:szCs w:val="24"/>
        </w:rPr>
        <w:t>). The mixed effects control variables ever smoked, sex, and alcohol drinker were not significant (</w:t>
      </w:r>
      <w:r w:rsidRPr="00CD2F5C">
        <w:rPr>
          <w:rFonts w:ascii="Cambria" w:hAnsi="Cambria"/>
          <w:i/>
          <w:sz w:val="24"/>
          <w:szCs w:val="24"/>
        </w:rPr>
        <w:t>p</w:t>
      </w:r>
      <w:r w:rsidRPr="00CD2F5C">
        <w:rPr>
          <w:rFonts w:ascii="Cambria" w:hAnsi="Cambria"/>
          <w:sz w:val="24"/>
          <w:szCs w:val="24"/>
        </w:rPr>
        <w:t xml:space="preserve"> &gt; 0.05); age at recruitment as a random effect was not assigned a significance (see Table S4 for variances and standard deviations). In this case, although the inclusion of the available socioeconomic factors in the mixed-effects model improved the fit on the data, it did not change the conclusions regarding the predictors of the number of times pain was reported.</w:t>
      </w:r>
    </w:p>
    <w:p w14:paraId="12FEA0D3" w14:textId="77777777" w:rsidR="009832C0" w:rsidRPr="00CD2F5C" w:rsidRDefault="009832C0" w:rsidP="002B0F75">
      <w:pPr>
        <w:spacing w:line="360" w:lineRule="auto"/>
        <w:rPr>
          <w:rFonts w:ascii="Cambria" w:hAnsi="Cambria"/>
          <w:sz w:val="24"/>
          <w:szCs w:val="24"/>
        </w:rPr>
      </w:pPr>
      <w:r w:rsidRPr="00CD2F5C">
        <w:rPr>
          <w:rFonts w:ascii="Cambria" w:hAnsi="Cambria"/>
          <w:b/>
          <w:sz w:val="24"/>
          <w:szCs w:val="24"/>
        </w:rPr>
        <w:t xml:space="preserve">Figure 3.  </w:t>
      </w:r>
      <w:r w:rsidRPr="00CD2F5C">
        <w:rPr>
          <w:rFonts w:ascii="Cambria" w:hAnsi="Cambria"/>
          <w:sz w:val="24"/>
          <w:szCs w:val="24"/>
        </w:rPr>
        <w:t>3-way interactions between: (</w:t>
      </w:r>
      <w:r w:rsidRPr="00CD2F5C">
        <w:rPr>
          <w:rFonts w:ascii="Cambria" w:hAnsi="Cambria"/>
          <w:b/>
          <w:sz w:val="24"/>
          <w:szCs w:val="24"/>
        </w:rPr>
        <w:t>A</w:t>
      </w:r>
      <w:r w:rsidRPr="00CD2F5C">
        <w:rPr>
          <w:rFonts w:ascii="Cambria" w:hAnsi="Cambria"/>
          <w:sz w:val="24"/>
          <w:szCs w:val="24"/>
        </w:rPr>
        <w:t>) CRP, sexual abuse, and physical abuse during childhood, (</w:t>
      </w:r>
      <w:r w:rsidRPr="00CD2F5C">
        <w:rPr>
          <w:rFonts w:ascii="Cambria" w:hAnsi="Cambria"/>
          <w:b/>
          <w:sz w:val="24"/>
          <w:szCs w:val="24"/>
        </w:rPr>
        <w:t>B</w:t>
      </w:r>
      <w:r w:rsidRPr="00CD2F5C">
        <w:rPr>
          <w:rFonts w:ascii="Cambria" w:hAnsi="Cambria"/>
          <w:sz w:val="24"/>
          <w:szCs w:val="24"/>
        </w:rPr>
        <w:t>) CRP, reporting anxiety to a professional x feeling hated as a child.</w:t>
      </w:r>
    </w:p>
    <w:p w14:paraId="4D6C74D3"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lastRenderedPageBreak/>
        <w:drawing>
          <wp:inline distT="0" distB="0" distL="0" distR="0" wp14:anchorId="11B5EBAA" wp14:editId="6F838EE2">
            <wp:extent cx="5796238" cy="5410390"/>
            <wp:effectExtent l="0" t="0" r="0" b="0"/>
            <wp:docPr id="4710443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
                              </a14:imgEffect>
                              <a14:imgEffect>
                                <a14:brightnessContrast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5814599" cy="5427529"/>
                    </a:xfrm>
                    <a:prstGeom prst="rect">
                      <a:avLst/>
                    </a:prstGeom>
                    <a:noFill/>
                    <a:ln>
                      <a:noFill/>
                    </a:ln>
                  </pic:spPr>
                </pic:pic>
              </a:graphicData>
            </a:graphic>
          </wp:inline>
        </w:drawing>
      </w:r>
    </w:p>
    <w:p w14:paraId="54CAA901" w14:textId="77777777" w:rsidR="009832C0" w:rsidRPr="00CD2F5C" w:rsidRDefault="009832C0" w:rsidP="002B0F75">
      <w:pPr>
        <w:spacing w:line="360" w:lineRule="auto"/>
        <w:rPr>
          <w:rFonts w:ascii="Cambria" w:hAnsi="Cambria"/>
          <w:sz w:val="24"/>
          <w:szCs w:val="24"/>
        </w:rPr>
      </w:pPr>
      <w:r w:rsidRPr="00CD2F5C">
        <w:rPr>
          <w:rFonts w:ascii="Cambria" w:hAnsi="Cambria"/>
          <w:i/>
          <w:sz w:val="24"/>
          <w:szCs w:val="24"/>
        </w:rPr>
        <w:t>Note</w:t>
      </w:r>
      <w:r w:rsidRPr="00CD2F5C">
        <w:rPr>
          <w:rFonts w:ascii="Cambria" w:hAnsi="Cambria"/>
          <w:sz w:val="24"/>
          <w:szCs w:val="24"/>
        </w:rPr>
        <w:t>: 0–4 scale = never–very often true.</w:t>
      </w:r>
    </w:p>
    <w:p w14:paraId="7DC269D8"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Discussion</w:t>
      </w:r>
    </w:p>
    <w:p w14:paraId="2663858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objective of this study was to examine the relationships between reported ACEs, anxiety, and chronic pain and to assess the associations between ACEs, anxiety, and CRP levels, as well as the link between CRP and chronic pain. Exploring these associations in more detail, using a Poisson regression, demonstrated some interesting main effects with three significant interactions identified in explaining chronic pain experiences. For anxiety, an increased frequency of having trouble relaxing during anxiety episodes and experiencing muscle symptoms was associated with an increase in reported chronic pain, </w:t>
      </w:r>
      <w:r w:rsidRPr="00CD2F5C">
        <w:rPr>
          <w:rFonts w:ascii="Cambria" w:hAnsi="Cambria"/>
          <w:sz w:val="24"/>
          <w:szCs w:val="24"/>
        </w:rPr>
        <w:lastRenderedPageBreak/>
        <w:t>and there was an important interaction between informing a professional about anxiety and CRP in predicting pain. With respect to ACEs, patients who reported feeling hated more frequently as a child, as well as patients who were physically or sexually abused as a child, reported more chronic pain in adulthood. With respect to the interaction analyses, the most influential interaction was between the frequency of physical abuse experienced as a child and reported muscular symptoms during anxiety. The other significant interactions were between the frequency with which they felt hated as a child and having discussed anxiety with a professional and between the reported frequency of sexual abuse in childhood and difficulties relaxing during anxiety attacks.</w:t>
      </w:r>
    </w:p>
    <w:p w14:paraId="53070BEC" w14:textId="7F36CA31"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Some of the associations between ACEs (as were shown in Fig. 1) appear at odds with the prevailing literature, for example, sexual abuse being inversely associated with physical abuse. This may reflect variations between the present study and others in ACE definitions or study sample characteristics. Recent research by </w:t>
      </w:r>
      <w:proofErr w:type="spellStart"/>
      <w:r w:rsidRPr="00CD2F5C">
        <w:rPr>
          <w:rFonts w:ascii="Cambria" w:hAnsi="Cambria"/>
          <w:sz w:val="24"/>
          <w:szCs w:val="24"/>
        </w:rPr>
        <w:t>Broekhof</w:t>
      </w:r>
      <w:proofErr w:type="spellEnd"/>
      <w:r w:rsidRPr="00CD2F5C">
        <w:rPr>
          <w:rFonts w:ascii="Cambria" w:hAnsi="Cambria"/>
          <w:sz w:val="24"/>
          <w:szCs w:val="24"/>
        </w:rPr>
        <w:t xml:space="preserve"> et al. (2022) suggests that due to overlap between ACE sub-types and individual ACEs, perhaps ACEs should be assessed as a combined group rather than individually</w:t>
      </w:r>
      <w:r w:rsidR="002311F6">
        <w:rPr>
          <w:rFonts w:ascii="Cambria" w:hAnsi="Cambria"/>
          <w:sz w:val="24"/>
          <w:szCs w:val="24"/>
        </w:rPr>
        <w:t xml:space="preserve"> (</w:t>
      </w:r>
      <w:proofErr w:type="spellStart"/>
      <w:r w:rsidR="002311F6" w:rsidRPr="00CD2F5C">
        <w:rPr>
          <w:rFonts w:ascii="Cambria" w:hAnsi="Cambria"/>
          <w:sz w:val="24"/>
          <w:szCs w:val="24"/>
        </w:rPr>
        <w:t>Broekhof</w:t>
      </w:r>
      <w:proofErr w:type="spellEnd"/>
      <w:r w:rsidR="002311F6" w:rsidRPr="00CD2F5C">
        <w:rPr>
          <w:rFonts w:ascii="Cambria" w:hAnsi="Cambria"/>
          <w:sz w:val="24"/>
          <w:szCs w:val="24"/>
        </w:rPr>
        <w:t xml:space="preserve"> et al. 2022</w:t>
      </w:r>
      <w:r w:rsidR="002311F6">
        <w:rPr>
          <w:rFonts w:ascii="Cambria" w:hAnsi="Cambria"/>
          <w:sz w:val="24"/>
          <w:szCs w:val="24"/>
        </w:rPr>
        <w:t>)</w:t>
      </w:r>
      <w:r w:rsidR="002311F6" w:rsidRPr="00CD2F5C">
        <w:rPr>
          <w:rFonts w:ascii="Cambria" w:hAnsi="Cambria"/>
          <w:sz w:val="24"/>
          <w:szCs w:val="24"/>
        </w:rPr>
        <w:t>.</w:t>
      </w:r>
      <w:r w:rsidR="002311F6">
        <w:rPr>
          <w:rFonts w:ascii="Cambria" w:hAnsi="Cambria"/>
          <w:sz w:val="24"/>
          <w:szCs w:val="24"/>
        </w:rPr>
        <w:t xml:space="preserve"> </w:t>
      </w:r>
    </w:p>
    <w:p w14:paraId="50614230" w14:textId="2F03965B"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findings further expand on previous research, such as multivariate </w:t>
      </w:r>
      <w:r w:rsidR="002311F6" w:rsidRPr="002311F6">
        <w:rPr>
          <w:rFonts w:ascii="Cambria" w:hAnsi="Cambria"/>
          <w:sz w:val="24"/>
          <w:szCs w:val="24"/>
        </w:rPr>
        <w:t>analysis</w:t>
      </w:r>
      <w:r w:rsidR="002311F6" w:rsidRPr="00684AAB">
        <w:rPr>
          <w:rFonts w:ascii="Cambria" w:hAnsi="Cambria"/>
          <w:sz w:val="24"/>
          <w:szCs w:val="24"/>
        </w:rPr>
        <w:t xml:space="preserve"> (Elmore &amp; Crouch 2020)</w:t>
      </w:r>
      <w:r w:rsidRPr="002311F6">
        <w:rPr>
          <w:rFonts w:ascii="Cambria" w:hAnsi="Cambria"/>
          <w:sz w:val="24"/>
          <w:szCs w:val="24"/>
        </w:rPr>
        <w:t>,</w:t>
      </w:r>
      <w:r w:rsidRPr="00CD2F5C">
        <w:rPr>
          <w:rFonts w:ascii="Cambria" w:hAnsi="Cambria"/>
          <w:sz w:val="24"/>
          <w:szCs w:val="24"/>
        </w:rPr>
        <w:t xml:space="preserve"> which concluded that any ACE measure was associated with a higher risk of both anxiety and depression. Children exposed to four ACEs or more had higher odds of anxiety and depression, for example, than those exposed to fewer than four ACEs. The results of the present study agree with this previous analysis but also support the assessment of the impact of ACEs on internalizing </w:t>
      </w:r>
      <w:r w:rsidR="00F13D34" w:rsidRPr="00CD2F5C">
        <w:rPr>
          <w:rFonts w:ascii="Cambria" w:hAnsi="Cambria"/>
          <w:sz w:val="24"/>
          <w:szCs w:val="24"/>
        </w:rPr>
        <w:t>behaviours</w:t>
      </w:r>
      <w:r w:rsidRPr="00CD2F5C">
        <w:rPr>
          <w:rFonts w:ascii="Cambria" w:hAnsi="Cambria"/>
          <w:sz w:val="24"/>
          <w:szCs w:val="24"/>
        </w:rPr>
        <w:t xml:space="preserve"> separately instead of grouping anxiety and depression outcomes together. The present results are also interesting to consider in light of a recent study</w:t>
      </w:r>
      <w:r w:rsidR="002311F6">
        <w:rPr>
          <w:rFonts w:ascii="Cambria" w:hAnsi="Cambria"/>
          <w:sz w:val="24"/>
          <w:szCs w:val="24"/>
        </w:rPr>
        <w:t xml:space="preserve"> (</w:t>
      </w:r>
      <w:r w:rsidR="002311F6" w:rsidRPr="002311F6">
        <w:rPr>
          <w:rFonts w:ascii="Cambria" w:hAnsi="Cambria"/>
          <w:sz w:val="24"/>
          <w:szCs w:val="24"/>
        </w:rPr>
        <w:t>Groenewald</w:t>
      </w:r>
      <w:r w:rsidR="002311F6">
        <w:rPr>
          <w:rFonts w:ascii="Cambria" w:hAnsi="Cambria"/>
          <w:sz w:val="24"/>
          <w:szCs w:val="24"/>
        </w:rPr>
        <w:t xml:space="preserve"> et al. 2020)</w:t>
      </w:r>
      <w:r w:rsidRPr="00CD2F5C">
        <w:rPr>
          <w:rFonts w:ascii="Cambria" w:hAnsi="Cambria"/>
          <w:sz w:val="24"/>
          <w:szCs w:val="24"/>
        </w:rPr>
        <w:t xml:space="preserve"> that showed that increased or chronic exposure to ACEs are key contributing drivers to chronic pain earlier in a person’s life. This study by Groenewald also demonstrated that exposure to one or more ACEs was associated with a 60%–170% increase in the likelihood of experiencing chronic pain. Taken together, it seems that the frequency of ACE exposure may be tied to chronic pain prevalence in adults.</w:t>
      </w:r>
    </w:p>
    <w:p w14:paraId="3E350307" w14:textId="2EA6D3EB" w:rsidR="009832C0" w:rsidRPr="00CD2F5C" w:rsidRDefault="009832C0" w:rsidP="002B0F75">
      <w:pPr>
        <w:spacing w:line="360" w:lineRule="auto"/>
        <w:rPr>
          <w:rFonts w:ascii="Cambria" w:hAnsi="Cambria"/>
          <w:sz w:val="24"/>
          <w:szCs w:val="24"/>
        </w:rPr>
      </w:pPr>
      <w:r w:rsidRPr="00CD2F5C">
        <w:rPr>
          <w:rFonts w:ascii="Cambria" w:hAnsi="Cambria"/>
          <w:sz w:val="24"/>
          <w:szCs w:val="24"/>
        </w:rPr>
        <w:lastRenderedPageBreak/>
        <w:t>Interestingly, addressing the second objective provided more insight into the underlying mechanisms of the associations. CRP was found to be a stronger predictor of pain for patients who reported never having experienced physical abuse, meaning that the more frequently physical abuse was reported, the weaker the relationship between chronic pain and CRP became. Similarly, CRP was a stronger predictor for patients who were not exposed to sexual abuse as children, showing that as the frequency of sexual abuse increased, CRP levels appeared to become less of a predictor. The interaction results did show a substantial divide in the effect of CRP on chronic pain. For patients who had low or infrequent availability to visit the doctor when needed as children, higher CRP levels were related to a decrease in the frequency of chronic pain reported during adulthood. In contrast, patients who had a high availability of visiting the doctor when needed showed CRP levels to be a strong predictor of chronic pain in adulthood. In addition to CRP, systemic inflammation related to elevated levels of inflammatory biomarkers such as TNF-Α, IL-6, and IL-1B has previously been linked to increased inflammatory and neuropathic pain</w:t>
      </w:r>
      <w:r w:rsidR="009B377C">
        <w:rPr>
          <w:rFonts w:ascii="Cambria" w:hAnsi="Cambria"/>
          <w:sz w:val="24"/>
          <w:szCs w:val="24"/>
          <w:vertAlign w:val="superscript"/>
        </w:rPr>
        <w:t xml:space="preserve"> </w:t>
      </w:r>
      <w:r w:rsidR="009B377C">
        <w:rPr>
          <w:rFonts w:ascii="Cambria" w:hAnsi="Cambria"/>
          <w:sz w:val="24"/>
          <w:szCs w:val="24"/>
        </w:rPr>
        <w:t xml:space="preserve">(Morris et al. 2020). </w:t>
      </w:r>
      <w:r w:rsidRPr="00CD2F5C">
        <w:rPr>
          <w:rFonts w:ascii="Cambria" w:hAnsi="Cambria"/>
          <w:sz w:val="24"/>
          <w:szCs w:val="24"/>
        </w:rPr>
        <w:t xml:space="preserve">The role of inflammation in the pathogenesis of other health problems in adults may be one of the main psychobiological mechanisms underlying the relationship between ACE history and poor health outcomes. In a study by </w:t>
      </w:r>
      <w:proofErr w:type="spellStart"/>
      <w:r w:rsidR="009B377C" w:rsidRPr="009B377C">
        <w:rPr>
          <w:rFonts w:ascii="Cambria" w:hAnsi="Cambria"/>
          <w:sz w:val="24"/>
          <w:szCs w:val="24"/>
        </w:rPr>
        <w:t>Iob</w:t>
      </w:r>
      <w:proofErr w:type="spellEnd"/>
      <w:r w:rsidRPr="00CD2F5C">
        <w:rPr>
          <w:rFonts w:ascii="Cambria" w:hAnsi="Cambria"/>
          <w:sz w:val="24"/>
          <w:szCs w:val="24"/>
        </w:rPr>
        <w:t xml:space="preserve"> </w:t>
      </w:r>
      <w:r w:rsidRPr="009B377C">
        <w:rPr>
          <w:rFonts w:ascii="Cambria" w:hAnsi="Cambria"/>
          <w:sz w:val="24"/>
          <w:szCs w:val="24"/>
        </w:rPr>
        <w:t>et a</w:t>
      </w:r>
      <w:r w:rsidR="009B377C">
        <w:rPr>
          <w:rFonts w:ascii="Cambria" w:hAnsi="Cambria"/>
          <w:sz w:val="24"/>
          <w:szCs w:val="24"/>
        </w:rPr>
        <w:t>l</w:t>
      </w:r>
      <w:r w:rsidR="009B377C" w:rsidRPr="00684AAB">
        <w:rPr>
          <w:rFonts w:ascii="Cambria" w:hAnsi="Cambria" w:cs="Arial"/>
          <w:sz w:val="24"/>
          <w:szCs w:val="24"/>
        </w:rPr>
        <w:t>. (2020)</w:t>
      </w:r>
      <w:r w:rsidR="009B377C">
        <w:rPr>
          <w:rFonts w:ascii="Arial" w:hAnsi="Arial" w:cs="Arial"/>
        </w:rPr>
        <w:t xml:space="preserve"> </w:t>
      </w:r>
      <w:r w:rsidRPr="00CD2F5C">
        <w:rPr>
          <w:rFonts w:ascii="Cambria" w:hAnsi="Cambria"/>
          <w:sz w:val="24"/>
          <w:szCs w:val="24"/>
        </w:rPr>
        <w:t>assessing CRP and hair cortisol, adults with three or more ACEs had a higher risk of elevated CRP levels across a 4-year period</w:t>
      </w:r>
      <w:r w:rsidR="009B377C">
        <w:rPr>
          <w:rFonts w:ascii="Cambria" w:hAnsi="Cambria"/>
          <w:sz w:val="24"/>
          <w:szCs w:val="24"/>
        </w:rPr>
        <w:t xml:space="preserve"> (</w:t>
      </w:r>
      <w:proofErr w:type="spellStart"/>
      <w:r w:rsidR="009B377C" w:rsidRPr="009B377C">
        <w:rPr>
          <w:rFonts w:ascii="Cambria" w:hAnsi="Cambria"/>
          <w:sz w:val="24"/>
          <w:szCs w:val="24"/>
        </w:rPr>
        <w:t>Iob</w:t>
      </w:r>
      <w:proofErr w:type="spellEnd"/>
      <w:r w:rsidR="009B377C">
        <w:rPr>
          <w:rFonts w:ascii="Cambria" w:hAnsi="Cambria"/>
          <w:sz w:val="24"/>
          <w:szCs w:val="24"/>
        </w:rPr>
        <w:t xml:space="preserve"> et al. 2020)</w:t>
      </w:r>
      <w:r w:rsidRPr="00CD2F5C">
        <w:rPr>
          <w:rFonts w:ascii="Cambria" w:hAnsi="Cambria"/>
          <w:sz w:val="24"/>
          <w:szCs w:val="24"/>
        </w:rPr>
        <w:t>. Such results demonstrate how the complexities between ACEs and proinflammatory responses may persist and impact later stages of adulthood and should be factored into chronic pain screening as well. In addition, the number and specific combination of ACE types may influence CRP levels, as suggested by our contrasting individual interaction findings.</w:t>
      </w:r>
    </w:p>
    <w:p w14:paraId="12C20A59" w14:textId="55AE62F8"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For the 3-way interactions, while CRP had a significant role in predicting chronic pain for patients with reported anxiety, this effect was much weaker for patients without anxiety. Of note, although both sexual abuse and physical abuse during childhood each decreased the effect CRP levels had on predicting chronic pain when examined individually for their interactions, when sexual abuse and physical abuse were both present, they significantly increased the effect that CRP levels had on predicting chronic pain in adulthood. This may be because those with a history of multiple traumatic experiences have higher </w:t>
      </w:r>
      <w:r w:rsidRPr="00CD2F5C">
        <w:rPr>
          <w:rFonts w:ascii="Cambria" w:hAnsi="Cambria"/>
          <w:sz w:val="24"/>
          <w:szCs w:val="24"/>
        </w:rPr>
        <w:lastRenderedPageBreak/>
        <w:t>inflammation. Prior meta-analyses of cross-sectional studies have confirmed the association of inflammation with traumatic experiences, and longitudinal studies have provided evidence supporting a bidirectional association that elevated inflammation may contribute to trauma symptoms and that trauma symptoms contribute to elevated inflammation</w:t>
      </w:r>
      <w:r w:rsidR="009B377C">
        <w:rPr>
          <w:rFonts w:ascii="Cambria" w:hAnsi="Cambria"/>
          <w:sz w:val="24"/>
          <w:szCs w:val="24"/>
        </w:rPr>
        <w:t xml:space="preserve"> (Wei et al. 2020).</w:t>
      </w:r>
    </w:p>
    <w:p w14:paraId="3913B3E7" w14:textId="0D48F206" w:rsidR="009832C0" w:rsidRPr="00CD2F5C" w:rsidRDefault="009832C0" w:rsidP="002B0F75">
      <w:pPr>
        <w:spacing w:line="360" w:lineRule="auto"/>
        <w:rPr>
          <w:rFonts w:ascii="Cambria" w:hAnsi="Cambria"/>
          <w:sz w:val="24"/>
          <w:szCs w:val="24"/>
        </w:rPr>
      </w:pPr>
      <w:r w:rsidRPr="00CD2F5C">
        <w:rPr>
          <w:rFonts w:ascii="Cambria" w:hAnsi="Cambria"/>
          <w:sz w:val="24"/>
          <w:szCs w:val="24"/>
        </w:rPr>
        <w:t>In terms of implications for future treatment, there is some support for additive therapy with anti-inflammatory medication for treatment-resistant depression; however, this was only true for patients with low-level inflammation (CRP ≥ 3 mg/L)</w:t>
      </w:r>
      <w:r w:rsidR="009B377C">
        <w:rPr>
          <w:rFonts w:ascii="Cambria" w:hAnsi="Cambria"/>
          <w:sz w:val="24"/>
          <w:szCs w:val="24"/>
        </w:rPr>
        <w:t xml:space="preserve"> (</w:t>
      </w:r>
      <w:proofErr w:type="spellStart"/>
      <w:r w:rsidR="009B377C">
        <w:rPr>
          <w:rFonts w:ascii="Cambria" w:hAnsi="Cambria"/>
          <w:sz w:val="24"/>
          <w:szCs w:val="24"/>
        </w:rPr>
        <w:t>Nettis</w:t>
      </w:r>
      <w:proofErr w:type="spellEnd"/>
      <w:r w:rsidR="009B377C">
        <w:rPr>
          <w:rFonts w:ascii="Cambria" w:hAnsi="Cambria"/>
          <w:sz w:val="24"/>
          <w:szCs w:val="24"/>
        </w:rPr>
        <w:t xml:space="preserve"> et al. 2021; </w:t>
      </w:r>
      <w:r w:rsidR="009B377C" w:rsidRPr="009B377C">
        <w:rPr>
          <w:rFonts w:ascii="Cambria" w:hAnsi="Cambria"/>
          <w:sz w:val="24"/>
          <w:szCs w:val="24"/>
        </w:rPr>
        <w:t>van Eeden</w:t>
      </w:r>
      <w:r w:rsidR="009B377C">
        <w:rPr>
          <w:rFonts w:ascii="Cambria" w:hAnsi="Cambria"/>
          <w:sz w:val="24"/>
          <w:szCs w:val="24"/>
        </w:rPr>
        <w:t xml:space="preserve"> et al. 2020; van Eeden et al. 2021).</w:t>
      </w:r>
      <w:r w:rsidRPr="00CD2F5C">
        <w:rPr>
          <w:rFonts w:ascii="Cambria" w:hAnsi="Cambria"/>
          <w:sz w:val="24"/>
          <w:szCs w:val="24"/>
        </w:rPr>
        <w:t xml:space="preserve"> It may be worth examining the potential for anti-inflammatory medications for treating patients with anxiety, particularly those with elevated inflammatory markers such as CRP. It would be worth investigating a cohort of patients with anxiety who could potentially benefit from individualized therapy with anti-inflammatory drugs, such as those with chronic pain and a history of ACEs.</w:t>
      </w:r>
    </w:p>
    <w:p w14:paraId="43E967E7" w14:textId="42797CFD"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While interesting, the cross-sectional nature of these data suggests caution in making any definitive statements about directionality of effects. For example, pain (a potent stressor) might lead to elevated CRP levels just as much as elevated CRP could lead to heightened pain sensitivity. Future studies should consider other variables that could influence CRP levels that might confound the associations between CRP and pain (e.g., demographics, socioeconomic status, health </w:t>
      </w:r>
      <w:r w:rsidR="009B377C" w:rsidRPr="00CD2F5C">
        <w:rPr>
          <w:rFonts w:ascii="Cambria" w:hAnsi="Cambria"/>
          <w:sz w:val="24"/>
          <w:szCs w:val="24"/>
        </w:rPr>
        <w:t>behaviours</w:t>
      </w:r>
      <w:r w:rsidRPr="00CD2F5C">
        <w:rPr>
          <w:rFonts w:ascii="Cambria" w:hAnsi="Cambria"/>
          <w:sz w:val="24"/>
          <w:szCs w:val="24"/>
        </w:rPr>
        <w:t>, social isolation etc.) and exploring the impact of these factors on the analyses reported here could shed light on variables which modify how ACEs relate to chronic pain. Although more research into the relationships is needed, the results of the present study are meaningful in that they highlight that elevated CRP is potentially associated not only with childhood trauma history and adult chronic pain outcomes but also with anxiety symptomology. This suggests that it may be important to consider the underlying inflammatory component potentially present in this specific adult population (ACE history, anxiety, and chronic pain).</w:t>
      </w:r>
    </w:p>
    <w:p w14:paraId="6C43F197"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Limitations</w:t>
      </w:r>
    </w:p>
    <w:p w14:paraId="0598248C"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 xml:space="preserve">The dataset used was a substantial sample size; however, some of the data generated included online questionnaires that relied on self-report. While such an approach was </w:t>
      </w:r>
      <w:r w:rsidRPr="00CD2F5C">
        <w:rPr>
          <w:rFonts w:ascii="Cambria" w:hAnsi="Cambria"/>
          <w:sz w:val="24"/>
          <w:szCs w:val="24"/>
        </w:rPr>
        <w:lastRenderedPageBreak/>
        <w:t>necessary to collect information from a larger sample, this may have affected the quality of the data due to recall bias. However, the only alternative to surveys (clinical interviews) for abuse and anxiety measures also relies on self-report and recall and would not be pragmatic in epidemiological research. Although appropriate statistical methods were used, findings related to biomarker data should be interpreted cautiously. These findings could still be affected by unmeasured or unaccounted for confounding variables. However, multiple sensitivity analyses were conducted, and the significant results appear to not be affected by biases. Finally, the dataset was primarily based in the UK, so it may not be globally generalizable across countries and cultures. However, the sample size itself was quite robust and opens opportunities for cross-cultural comparison with other large datasets.</w:t>
      </w:r>
    </w:p>
    <w:p w14:paraId="38BEB78C"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t>Conclusion</w:t>
      </w:r>
    </w:p>
    <w:p w14:paraId="0794418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t>The results of this analysis are meaningful in that they indicate that CRP is significantly associated not only with certain ACEs and adult chronic pain outcomes but also with anxiety symptoms. Of note, childhood abuse significantly interacted with CRP to predict pain, and there were important results on the combined effect of specific ACEs. The implications of this connection warrant further study to validate these relationships and potential mediations but are an important consideration in the underlying inflammatory components of systemic dysfunction after childhood adversity in adults with chronic pain, anxiety, and higher levels of CRP.</w:t>
      </w:r>
    </w:p>
    <w:p w14:paraId="5DA31024" w14:textId="77777777" w:rsidR="009832C0" w:rsidRPr="00CD2F5C" w:rsidRDefault="009832C0" w:rsidP="002B0F75">
      <w:pPr>
        <w:spacing w:line="360" w:lineRule="auto"/>
        <w:rPr>
          <w:rFonts w:ascii="Cambria" w:hAnsi="Cambria"/>
          <w:sz w:val="24"/>
          <w:szCs w:val="24"/>
        </w:rPr>
      </w:pPr>
    </w:p>
    <w:p w14:paraId="53AF1A15"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br w:type="page"/>
      </w:r>
    </w:p>
    <w:p w14:paraId="7F886BC5" w14:textId="77777777" w:rsidR="009832C0" w:rsidRPr="00CD2F5C" w:rsidRDefault="009832C0" w:rsidP="002B0F75">
      <w:pPr>
        <w:spacing w:line="360" w:lineRule="auto"/>
        <w:rPr>
          <w:rFonts w:ascii="Cambria" w:hAnsi="Cambria"/>
          <w:b/>
          <w:sz w:val="24"/>
          <w:szCs w:val="24"/>
        </w:rPr>
      </w:pPr>
      <w:r w:rsidRPr="00CD2F5C">
        <w:rPr>
          <w:rFonts w:ascii="Cambria" w:hAnsi="Cambria"/>
          <w:b/>
          <w:sz w:val="24"/>
          <w:szCs w:val="24"/>
        </w:rPr>
        <w:lastRenderedPageBreak/>
        <w:t>Chapter 3 references</w:t>
      </w:r>
    </w:p>
    <w:p w14:paraId="2F9B6418"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Bremner, J. D. Traumatic stress: Effects on the brain. </w:t>
      </w:r>
      <w:r w:rsidRPr="00CD2F5C">
        <w:rPr>
          <w:rFonts w:ascii="Cambria" w:hAnsi="Cambria"/>
          <w:i/>
          <w:sz w:val="24"/>
          <w:szCs w:val="24"/>
        </w:rPr>
        <w:t xml:space="preserve">Dialogues Clin. </w:t>
      </w:r>
      <w:proofErr w:type="spellStart"/>
      <w:r w:rsidRPr="00CD2F5C">
        <w:rPr>
          <w:rFonts w:ascii="Cambria" w:hAnsi="Cambria"/>
          <w:i/>
          <w:sz w:val="24"/>
          <w:szCs w:val="24"/>
        </w:rPr>
        <w:t>Neurosci</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8</w:t>
      </w:r>
      <w:r w:rsidRPr="00CD2F5C">
        <w:rPr>
          <w:rFonts w:ascii="Cambria" w:hAnsi="Cambria"/>
          <w:sz w:val="24"/>
          <w:szCs w:val="24"/>
        </w:rPr>
        <w:t xml:space="preserve">(4), 445–461. </w:t>
      </w:r>
      <w:hyperlink r:id="rId65"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org/ 10. 31887/ DCNS. </w:t>
        </w:r>
      </w:hyperlink>
      <w:hyperlink r:id="rId66" w:history="1">
        <w:r w:rsidRPr="00CD2F5C">
          <w:rPr>
            <w:rStyle w:val="Hyperlink"/>
            <w:rFonts w:ascii="Cambria" w:hAnsi="Cambria"/>
            <w:sz w:val="24"/>
            <w:szCs w:val="24"/>
          </w:rPr>
          <w:t xml:space="preserve">2006.8. 4/ </w:t>
        </w:r>
        <w:proofErr w:type="spellStart"/>
        <w:r w:rsidRPr="00CD2F5C">
          <w:rPr>
            <w:rStyle w:val="Hyperlink"/>
            <w:rFonts w:ascii="Cambria" w:hAnsi="Cambria"/>
            <w:sz w:val="24"/>
            <w:szCs w:val="24"/>
          </w:rPr>
          <w:t>jbrem</w:t>
        </w:r>
        <w:proofErr w:type="spellEnd"/>
        <w:r w:rsidRPr="00CD2F5C">
          <w:rPr>
            <w:rStyle w:val="Hyperlink"/>
            <w:rFonts w:ascii="Cambria" w:hAnsi="Cambria"/>
            <w:sz w:val="24"/>
            <w:szCs w:val="24"/>
          </w:rPr>
          <w:t xml:space="preserve"> </w:t>
        </w:r>
        <w:proofErr w:type="spellStart"/>
        <w:r w:rsidRPr="00CD2F5C">
          <w:rPr>
            <w:rStyle w:val="Hyperlink"/>
            <w:rFonts w:ascii="Cambria" w:hAnsi="Cambria"/>
            <w:sz w:val="24"/>
            <w:szCs w:val="24"/>
          </w:rPr>
          <w:t>ner</w:t>
        </w:r>
        <w:proofErr w:type="spellEnd"/>
      </w:hyperlink>
      <w:r w:rsidRPr="00CD2F5C">
        <w:rPr>
          <w:rFonts w:ascii="Cambria" w:hAnsi="Cambria"/>
          <w:sz w:val="24"/>
          <w:szCs w:val="24"/>
        </w:rPr>
        <w:t xml:space="preserve"> (2006).</w:t>
      </w:r>
    </w:p>
    <w:p w14:paraId="775BCC8D"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Morasco, B. J. </w:t>
      </w:r>
      <w:r w:rsidRPr="00CD2F5C">
        <w:rPr>
          <w:rFonts w:ascii="Cambria" w:hAnsi="Cambria"/>
          <w:i/>
          <w:sz w:val="24"/>
          <w:szCs w:val="24"/>
        </w:rPr>
        <w:t>et al.</w:t>
      </w:r>
      <w:r w:rsidRPr="00CD2F5C">
        <w:rPr>
          <w:rFonts w:ascii="Cambria" w:hAnsi="Cambria"/>
          <w:sz w:val="24"/>
          <w:szCs w:val="24"/>
        </w:rPr>
        <w:t xml:space="preserve"> The relationship between PTSD and chronic pain: Mediating role of coping strategies and depression. </w:t>
      </w:r>
      <w:r w:rsidRPr="00CD2F5C">
        <w:rPr>
          <w:rFonts w:ascii="Cambria" w:hAnsi="Cambria"/>
          <w:i/>
          <w:sz w:val="24"/>
          <w:szCs w:val="24"/>
        </w:rPr>
        <w:t>Pain</w:t>
      </w:r>
      <w:r w:rsidRPr="00CD2F5C">
        <w:rPr>
          <w:rFonts w:ascii="Cambria" w:hAnsi="Cambria"/>
          <w:sz w:val="24"/>
          <w:szCs w:val="24"/>
        </w:rPr>
        <w:t xml:space="preserve"> </w:t>
      </w:r>
      <w:r w:rsidRPr="00CD2F5C">
        <w:rPr>
          <w:rFonts w:ascii="Cambria" w:hAnsi="Cambria"/>
          <w:b/>
          <w:sz w:val="24"/>
          <w:szCs w:val="24"/>
        </w:rPr>
        <w:t>154</w:t>
      </w:r>
      <w:r w:rsidRPr="00CD2F5C">
        <w:rPr>
          <w:rFonts w:ascii="Cambria" w:hAnsi="Cambria"/>
          <w:sz w:val="24"/>
          <w:szCs w:val="24"/>
        </w:rPr>
        <w:t xml:space="preserve">(4), 609–616. </w:t>
      </w:r>
      <w:hyperlink r:id="rId67"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 10. 1016/j. pain. 2013. 01. 001</w:t>
        </w:r>
      </w:hyperlink>
      <w:r w:rsidRPr="00CD2F5C">
        <w:rPr>
          <w:rFonts w:ascii="Cambria" w:hAnsi="Cambria"/>
          <w:sz w:val="24"/>
          <w:szCs w:val="24"/>
        </w:rPr>
        <w:t xml:space="preserve"> (2013).</w:t>
      </w:r>
    </w:p>
    <w:p w14:paraId="17C32347"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Miller, A. H. Beyond depression: The expanding role of inflammation in psychiatric disorders. </w:t>
      </w:r>
      <w:r w:rsidRPr="00CD2F5C">
        <w:rPr>
          <w:rFonts w:ascii="Cambria" w:hAnsi="Cambria"/>
          <w:i/>
          <w:sz w:val="24"/>
          <w:szCs w:val="24"/>
        </w:rPr>
        <w:t>World Psychiatry.</w:t>
      </w:r>
      <w:r w:rsidRPr="00CD2F5C">
        <w:rPr>
          <w:rFonts w:ascii="Cambria" w:hAnsi="Cambria"/>
          <w:sz w:val="24"/>
          <w:szCs w:val="24"/>
        </w:rPr>
        <w:t xml:space="preserve"> </w:t>
      </w:r>
      <w:r w:rsidRPr="00CD2F5C">
        <w:rPr>
          <w:rFonts w:ascii="Cambria" w:hAnsi="Cambria"/>
          <w:b/>
          <w:sz w:val="24"/>
          <w:szCs w:val="24"/>
        </w:rPr>
        <w:t>19</w:t>
      </w:r>
      <w:r w:rsidRPr="00CD2F5C">
        <w:rPr>
          <w:rFonts w:ascii="Cambria" w:hAnsi="Cambria"/>
          <w:sz w:val="24"/>
          <w:szCs w:val="24"/>
        </w:rPr>
        <w:t xml:space="preserve">(1), 108–109. </w:t>
      </w:r>
      <w:hyperlink r:id="rId68"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org/ 10. 1002/ </w:t>
        </w:r>
        <w:proofErr w:type="spellStart"/>
        <w:r w:rsidRPr="00CD2F5C">
          <w:rPr>
            <w:rStyle w:val="Hyperlink"/>
            <w:rFonts w:ascii="Cambria" w:hAnsi="Cambria"/>
            <w:sz w:val="24"/>
            <w:szCs w:val="24"/>
          </w:rPr>
          <w:t>wps</w:t>
        </w:r>
        <w:proofErr w:type="spellEnd"/>
        <w:r w:rsidRPr="00CD2F5C">
          <w:rPr>
            <w:rStyle w:val="Hyperlink"/>
            <w:rFonts w:ascii="Cambria" w:hAnsi="Cambria"/>
            <w:sz w:val="24"/>
            <w:szCs w:val="24"/>
          </w:rPr>
          <w:t>. 20723</w:t>
        </w:r>
      </w:hyperlink>
      <w:r w:rsidRPr="00CD2F5C">
        <w:rPr>
          <w:rFonts w:ascii="Cambria" w:hAnsi="Cambria"/>
          <w:sz w:val="24"/>
          <w:szCs w:val="24"/>
        </w:rPr>
        <w:t xml:space="preserve"> (2020).</w:t>
      </w:r>
    </w:p>
    <w:p w14:paraId="342D1D8E"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Nicolson, N. A., Davis, M. C., Kruszewski, D. &amp; </w:t>
      </w:r>
      <w:proofErr w:type="spellStart"/>
      <w:r w:rsidRPr="00CD2F5C">
        <w:rPr>
          <w:rFonts w:ascii="Cambria" w:hAnsi="Cambria"/>
          <w:sz w:val="24"/>
          <w:szCs w:val="24"/>
        </w:rPr>
        <w:t>Zautra</w:t>
      </w:r>
      <w:proofErr w:type="spellEnd"/>
      <w:r w:rsidRPr="00CD2F5C">
        <w:rPr>
          <w:rFonts w:ascii="Cambria" w:hAnsi="Cambria"/>
          <w:sz w:val="24"/>
          <w:szCs w:val="24"/>
        </w:rPr>
        <w:t xml:space="preserve">, A. J. Childhood maltreatment and diurnal cortisol patterns in women with chronic pain. </w:t>
      </w:r>
      <w:proofErr w:type="spellStart"/>
      <w:r w:rsidRPr="00CD2F5C">
        <w:rPr>
          <w:rFonts w:ascii="Cambria" w:hAnsi="Cambria"/>
          <w:i/>
          <w:sz w:val="24"/>
          <w:szCs w:val="24"/>
        </w:rPr>
        <w:t>Psychosom</w:t>
      </w:r>
      <w:proofErr w:type="spellEnd"/>
      <w:r w:rsidRPr="00CD2F5C">
        <w:rPr>
          <w:rFonts w:ascii="Cambria" w:hAnsi="Cambria"/>
          <w:i/>
          <w:sz w:val="24"/>
          <w:szCs w:val="24"/>
        </w:rPr>
        <w:t>. Med.</w:t>
      </w:r>
      <w:r w:rsidRPr="00CD2F5C">
        <w:rPr>
          <w:rFonts w:ascii="Cambria" w:hAnsi="Cambria"/>
          <w:sz w:val="24"/>
          <w:szCs w:val="24"/>
        </w:rPr>
        <w:t xml:space="preserve"> </w:t>
      </w:r>
      <w:r w:rsidRPr="00CD2F5C">
        <w:rPr>
          <w:rFonts w:ascii="Cambria" w:hAnsi="Cambria"/>
          <w:b/>
          <w:sz w:val="24"/>
          <w:szCs w:val="24"/>
        </w:rPr>
        <w:t>72</w:t>
      </w:r>
      <w:r w:rsidRPr="00CD2F5C">
        <w:rPr>
          <w:rFonts w:ascii="Cambria" w:hAnsi="Cambria"/>
          <w:sz w:val="24"/>
          <w:szCs w:val="24"/>
        </w:rPr>
        <w:t xml:space="preserve">(5), 471–480. </w:t>
      </w:r>
      <w:hyperlink r:id="rId69"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 10. 1097/ PSY. 0b013 e3181 d9a104</w:t>
        </w:r>
      </w:hyperlink>
      <w:r w:rsidRPr="00CD2F5C">
        <w:rPr>
          <w:rFonts w:ascii="Cambria" w:hAnsi="Cambria"/>
          <w:sz w:val="24"/>
          <w:szCs w:val="24"/>
        </w:rPr>
        <w:t xml:space="preserve"> (2010).</w:t>
      </w:r>
    </w:p>
    <w:p w14:paraId="41D3A45B"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Sheng, J. A. </w:t>
      </w:r>
      <w:r w:rsidRPr="00CD2F5C">
        <w:rPr>
          <w:rFonts w:ascii="Cambria" w:hAnsi="Cambria"/>
          <w:i/>
          <w:sz w:val="24"/>
          <w:szCs w:val="24"/>
        </w:rPr>
        <w:t>et al.</w:t>
      </w:r>
      <w:r w:rsidRPr="00CD2F5C">
        <w:rPr>
          <w:rFonts w:ascii="Cambria" w:hAnsi="Cambria"/>
          <w:sz w:val="24"/>
          <w:szCs w:val="24"/>
        </w:rPr>
        <w:t xml:space="preserve"> The hypothalamic-pituitary-adrenal axis: Development, programming actions of hormones, and maternal-</w:t>
      </w:r>
      <w:proofErr w:type="spellStart"/>
      <w:r w:rsidRPr="00CD2F5C">
        <w:rPr>
          <w:rFonts w:ascii="Cambria" w:hAnsi="Cambria"/>
          <w:sz w:val="24"/>
          <w:szCs w:val="24"/>
        </w:rPr>
        <w:t>fetal</w:t>
      </w:r>
      <w:proofErr w:type="spellEnd"/>
      <w:r w:rsidRPr="00CD2F5C">
        <w:rPr>
          <w:rFonts w:ascii="Cambria" w:hAnsi="Cambria"/>
          <w:sz w:val="24"/>
          <w:szCs w:val="24"/>
        </w:rPr>
        <w:t xml:space="preserve"> interactions. </w:t>
      </w:r>
      <w:r w:rsidRPr="00CD2F5C">
        <w:rPr>
          <w:rFonts w:ascii="Cambria" w:hAnsi="Cambria"/>
          <w:i/>
          <w:sz w:val="24"/>
          <w:szCs w:val="24"/>
        </w:rPr>
        <w:t xml:space="preserve">Front </w:t>
      </w:r>
      <w:proofErr w:type="spellStart"/>
      <w:r w:rsidRPr="00CD2F5C">
        <w:rPr>
          <w:rFonts w:ascii="Cambria" w:hAnsi="Cambria"/>
          <w:i/>
          <w:sz w:val="24"/>
          <w:szCs w:val="24"/>
        </w:rPr>
        <w:t>Behav</w:t>
      </w:r>
      <w:proofErr w:type="spellEnd"/>
      <w:r w:rsidRPr="00CD2F5C">
        <w:rPr>
          <w:rFonts w:ascii="Cambria" w:hAnsi="Cambria"/>
          <w:i/>
          <w:sz w:val="24"/>
          <w:szCs w:val="24"/>
        </w:rPr>
        <w:t xml:space="preserve"> </w:t>
      </w:r>
      <w:proofErr w:type="spellStart"/>
      <w:r w:rsidRPr="00CD2F5C">
        <w:rPr>
          <w:rFonts w:ascii="Cambria" w:hAnsi="Cambria"/>
          <w:i/>
          <w:sz w:val="24"/>
          <w:szCs w:val="24"/>
        </w:rPr>
        <w:t>Neurosci</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13</w:t>
      </w:r>
      <w:r w:rsidRPr="00CD2F5C">
        <w:rPr>
          <w:rFonts w:ascii="Cambria" w:hAnsi="Cambria"/>
          <w:sz w:val="24"/>
          <w:szCs w:val="24"/>
        </w:rPr>
        <w:t xml:space="preserve">(14), 601939. </w:t>
      </w:r>
      <w:hyperlink r:id="rId70"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org/ 10. 3389/ </w:t>
        </w:r>
        <w:proofErr w:type="spellStart"/>
        <w:r w:rsidRPr="00CD2F5C">
          <w:rPr>
            <w:rStyle w:val="Hyperlink"/>
            <w:rFonts w:ascii="Cambria" w:hAnsi="Cambria"/>
            <w:sz w:val="24"/>
            <w:szCs w:val="24"/>
          </w:rPr>
          <w:t>fnbeh</w:t>
        </w:r>
        <w:proofErr w:type="spellEnd"/>
        <w:r w:rsidRPr="00CD2F5C">
          <w:rPr>
            <w:rStyle w:val="Hyperlink"/>
            <w:rFonts w:ascii="Cambria" w:hAnsi="Cambria"/>
            <w:sz w:val="24"/>
            <w:szCs w:val="24"/>
          </w:rPr>
          <w:t>. 2020. 601939</w:t>
        </w:r>
      </w:hyperlink>
      <w:r w:rsidRPr="00CD2F5C">
        <w:rPr>
          <w:rFonts w:ascii="Cambria" w:hAnsi="Cambria"/>
          <w:sz w:val="24"/>
          <w:szCs w:val="24"/>
        </w:rPr>
        <w:t xml:space="preserve"> (2021).</w:t>
      </w:r>
    </w:p>
    <w:p w14:paraId="6F5513BE"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Gunnar, M. R. &amp; Vazquez, D. Stress neurobiology and developmental psychopathology. In </w:t>
      </w:r>
      <w:r w:rsidRPr="00CD2F5C">
        <w:rPr>
          <w:rFonts w:ascii="Cambria" w:hAnsi="Cambria"/>
          <w:i/>
          <w:sz w:val="24"/>
          <w:szCs w:val="24"/>
        </w:rPr>
        <w:t>developmental psychopathology</w:t>
      </w:r>
      <w:r w:rsidRPr="00CD2F5C">
        <w:rPr>
          <w:rFonts w:ascii="Cambria" w:hAnsi="Cambria"/>
          <w:sz w:val="24"/>
          <w:szCs w:val="24"/>
        </w:rPr>
        <w:t xml:space="preserve"> 2nd </w:t>
      </w:r>
      <w:proofErr w:type="spellStart"/>
      <w:r w:rsidRPr="00CD2F5C">
        <w:rPr>
          <w:rFonts w:ascii="Cambria" w:hAnsi="Cambria"/>
          <w:sz w:val="24"/>
          <w:szCs w:val="24"/>
        </w:rPr>
        <w:t>edn</w:t>
      </w:r>
      <w:proofErr w:type="spellEnd"/>
      <w:r w:rsidRPr="00CD2F5C">
        <w:rPr>
          <w:rFonts w:ascii="Cambria" w:hAnsi="Cambria"/>
          <w:sz w:val="24"/>
          <w:szCs w:val="24"/>
        </w:rPr>
        <w:t>, Vol. 2 (eds Cicchetti, D. &amp; Cohen, D. J.) (Wiley, Hoboken, 2006).</w:t>
      </w:r>
    </w:p>
    <w:p w14:paraId="2DE35450" w14:textId="77777777" w:rsidR="009832C0" w:rsidRPr="00CD2F5C" w:rsidRDefault="009832C0" w:rsidP="00684AAB">
      <w:pPr>
        <w:spacing w:line="360" w:lineRule="auto"/>
        <w:ind w:left="360"/>
        <w:rPr>
          <w:rFonts w:ascii="Cambria" w:hAnsi="Cambria"/>
          <w:sz w:val="24"/>
          <w:szCs w:val="24"/>
        </w:rPr>
      </w:pPr>
      <w:proofErr w:type="spellStart"/>
      <w:r w:rsidRPr="00CD2F5C">
        <w:rPr>
          <w:rFonts w:ascii="Cambria" w:hAnsi="Cambria"/>
          <w:sz w:val="24"/>
          <w:szCs w:val="24"/>
        </w:rPr>
        <w:t>Chrousos</w:t>
      </w:r>
      <w:proofErr w:type="spellEnd"/>
      <w:r w:rsidRPr="00CD2F5C">
        <w:rPr>
          <w:rFonts w:ascii="Cambria" w:hAnsi="Cambria"/>
          <w:sz w:val="24"/>
          <w:szCs w:val="24"/>
        </w:rPr>
        <w:t xml:space="preserve">, G. P. The hypothalamic-pituitary-adrenal axis and immune-mediated inflammation. </w:t>
      </w:r>
      <w:r w:rsidRPr="00CD2F5C">
        <w:rPr>
          <w:rFonts w:ascii="Cambria" w:hAnsi="Cambria"/>
          <w:i/>
          <w:sz w:val="24"/>
          <w:szCs w:val="24"/>
        </w:rPr>
        <w:t>N. Engl. J. Med.</w:t>
      </w:r>
      <w:r w:rsidRPr="00CD2F5C">
        <w:rPr>
          <w:rFonts w:ascii="Cambria" w:hAnsi="Cambria"/>
          <w:sz w:val="24"/>
          <w:szCs w:val="24"/>
        </w:rPr>
        <w:t xml:space="preserve"> </w:t>
      </w:r>
      <w:r w:rsidRPr="00CD2F5C">
        <w:rPr>
          <w:rFonts w:ascii="Cambria" w:hAnsi="Cambria"/>
          <w:b/>
          <w:sz w:val="24"/>
          <w:szCs w:val="24"/>
        </w:rPr>
        <w:t>332</w:t>
      </w:r>
      <w:r w:rsidRPr="00CD2F5C">
        <w:rPr>
          <w:rFonts w:ascii="Cambria" w:hAnsi="Cambria"/>
          <w:sz w:val="24"/>
          <w:szCs w:val="24"/>
        </w:rPr>
        <w:t xml:space="preserve">(20), 1351–1362. </w:t>
      </w:r>
      <w:hyperlink r:id="rId71"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 10. 1056/ NEJM1 99505 18332 2008</w:t>
        </w:r>
      </w:hyperlink>
      <w:r w:rsidRPr="00CD2F5C">
        <w:rPr>
          <w:rFonts w:ascii="Cambria" w:hAnsi="Cambria"/>
          <w:sz w:val="24"/>
          <w:szCs w:val="24"/>
        </w:rPr>
        <w:t xml:space="preserve"> (1995).</w:t>
      </w:r>
    </w:p>
    <w:p w14:paraId="0526574F"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Gunnar, M. R. &amp; Vazquez, D. M. Low cortisol and a flattening of expected daytime rhythm: Potential indices of risk in human development. </w:t>
      </w:r>
      <w:r w:rsidRPr="00CD2F5C">
        <w:rPr>
          <w:rFonts w:ascii="Cambria" w:hAnsi="Cambria"/>
          <w:i/>
          <w:sz w:val="24"/>
          <w:szCs w:val="24"/>
        </w:rPr>
        <w:t xml:space="preserve">Dev. </w:t>
      </w:r>
      <w:proofErr w:type="spellStart"/>
      <w:r w:rsidRPr="00CD2F5C">
        <w:rPr>
          <w:rFonts w:ascii="Cambria" w:hAnsi="Cambria"/>
          <w:i/>
          <w:sz w:val="24"/>
          <w:szCs w:val="24"/>
        </w:rPr>
        <w:t>Psychopathol</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13</w:t>
      </w:r>
      <w:r w:rsidRPr="00CD2F5C">
        <w:rPr>
          <w:rFonts w:ascii="Cambria" w:hAnsi="Cambria"/>
          <w:sz w:val="24"/>
          <w:szCs w:val="24"/>
        </w:rPr>
        <w:t>, 515–538 (2001).</w:t>
      </w:r>
    </w:p>
    <w:p w14:paraId="2AF027CD"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Muniz Carvalho, C. </w:t>
      </w:r>
      <w:r w:rsidRPr="00CD2F5C">
        <w:rPr>
          <w:rFonts w:ascii="Cambria" w:hAnsi="Cambria"/>
          <w:i/>
          <w:sz w:val="24"/>
          <w:szCs w:val="24"/>
        </w:rPr>
        <w:t>et al.</w:t>
      </w:r>
      <w:r w:rsidRPr="00CD2F5C">
        <w:rPr>
          <w:rFonts w:ascii="Cambria" w:hAnsi="Cambria"/>
          <w:sz w:val="24"/>
          <w:szCs w:val="24"/>
        </w:rPr>
        <w:t xml:space="preserve"> Dissecting the genetic association of C-reactive protein with PTSD, traumatic events, and social support. </w:t>
      </w:r>
      <w:r w:rsidRPr="00CD2F5C">
        <w:rPr>
          <w:rFonts w:ascii="Cambria" w:hAnsi="Cambria"/>
          <w:i/>
          <w:sz w:val="24"/>
          <w:szCs w:val="24"/>
        </w:rPr>
        <w:t>Neuropsychopharmacology</w:t>
      </w:r>
      <w:r w:rsidRPr="00CD2F5C">
        <w:rPr>
          <w:rFonts w:ascii="Cambria" w:hAnsi="Cambria"/>
          <w:sz w:val="24"/>
          <w:szCs w:val="24"/>
        </w:rPr>
        <w:t xml:space="preserve"> </w:t>
      </w:r>
      <w:r w:rsidRPr="00CD2F5C">
        <w:rPr>
          <w:rFonts w:ascii="Cambria" w:hAnsi="Cambria"/>
          <w:b/>
          <w:sz w:val="24"/>
          <w:szCs w:val="24"/>
        </w:rPr>
        <w:t>46</w:t>
      </w:r>
      <w:r w:rsidRPr="00CD2F5C">
        <w:rPr>
          <w:rFonts w:ascii="Cambria" w:hAnsi="Cambria"/>
          <w:sz w:val="24"/>
          <w:szCs w:val="24"/>
        </w:rPr>
        <w:t>(6), 1071–1077 (2021).</w:t>
      </w:r>
    </w:p>
    <w:p w14:paraId="5A339C7E"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lastRenderedPageBreak/>
        <w:t xml:space="preserve">Wei, P., Keller, C. &amp; Li, L. Neuropeptides in gut-brain axis and their influence on host immunity and stress. </w:t>
      </w:r>
      <w:proofErr w:type="spellStart"/>
      <w:r w:rsidRPr="00CD2F5C">
        <w:rPr>
          <w:rFonts w:ascii="Cambria" w:hAnsi="Cambria"/>
          <w:i/>
          <w:sz w:val="24"/>
          <w:szCs w:val="24"/>
        </w:rPr>
        <w:t>Comput</w:t>
      </w:r>
      <w:proofErr w:type="spellEnd"/>
      <w:r w:rsidRPr="00CD2F5C">
        <w:rPr>
          <w:rFonts w:ascii="Cambria" w:hAnsi="Cambria"/>
          <w:i/>
          <w:sz w:val="24"/>
          <w:szCs w:val="24"/>
        </w:rPr>
        <w:t xml:space="preserve">. Struct. </w:t>
      </w:r>
      <w:proofErr w:type="spellStart"/>
      <w:r w:rsidRPr="00CD2F5C">
        <w:rPr>
          <w:rFonts w:ascii="Cambria" w:hAnsi="Cambria"/>
          <w:i/>
          <w:sz w:val="24"/>
          <w:szCs w:val="24"/>
        </w:rPr>
        <w:t>Biotechnol</w:t>
      </w:r>
      <w:proofErr w:type="spellEnd"/>
      <w:r w:rsidRPr="00CD2F5C">
        <w:rPr>
          <w:rFonts w:ascii="Cambria" w:hAnsi="Cambria"/>
          <w:i/>
          <w:sz w:val="24"/>
          <w:szCs w:val="24"/>
        </w:rPr>
        <w:t>. J.</w:t>
      </w:r>
      <w:r w:rsidRPr="00CD2F5C">
        <w:rPr>
          <w:rFonts w:ascii="Cambria" w:hAnsi="Cambria"/>
          <w:sz w:val="24"/>
          <w:szCs w:val="24"/>
        </w:rPr>
        <w:t xml:space="preserve"> </w:t>
      </w:r>
      <w:r w:rsidRPr="00CD2F5C">
        <w:rPr>
          <w:rFonts w:ascii="Cambria" w:hAnsi="Cambria"/>
          <w:b/>
          <w:sz w:val="24"/>
          <w:szCs w:val="24"/>
        </w:rPr>
        <w:t>4</w:t>
      </w:r>
      <w:r w:rsidRPr="00CD2F5C">
        <w:rPr>
          <w:rFonts w:ascii="Cambria" w:hAnsi="Cambria"/>
          <w:sz w:val="24"/>
          <w:szCs w:val="24"/>
        </w:rPr>
        <w:t xml:space="preserve">(18), 843–851. </w:t>
      </w:r>
      <w:hyperlink r:id="rId72"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org/ 10. 1016/j. </w:t>
        </w:r>
        <w:proofErr w:type="spellStart"/>
        <w:r w:rsidRPr="00CD2F5C">
          <w:rPr>
            <w:rStyle w:val="Hyperlink"/>
            <w:rFonts w:ascii="Cambria" w:hAnsi="Cambria"/>
            <w:sz w:val="24"/>
            <w:szCs w:val="24"/>
          </w:rPr>
          <w:t>csbj</w:t>
        </w:r>
        <w:proofErr w:type="spellEnd"/>
        <w:r w:rsidRPr="00CD2F5C">
          <w:rPr>
            <w:rStyle w:val="Hyperlink"/>
            <w:rFonts w:ascii="Cambria" w:hAnsi="Cambria"/>
            <w:sz w:val="24"/>
            <w:szCs w:val="24"/>
          </w:rPr>
          <w:t>. 2020. 02. 018</w:t>
        </w:r>
      </w:hyperlink>
      <w:r w:rsidRPr="00CD2F5C">
        <w:rPr>
          <w:rFonts w:ascii="Cambria" w:hAnsi="Cambria"/>
          <w:sz w:val="24"/>
          <w:szCs w:val="24"/>
        </w:rPr>
        <w:t xml:space="preserve"> (2020).</w:t>
      </w:r>
    </w:p>
    <w:p w14:paraId="09077062" w14:textId="77777777" w:rsidR="009832C0" w:rsidRPr="00CD2F5C" w:rsidRDefault="009832C0" w:rsidP="00684AAB">
      <w:pPr>
        <w:spacing w:line="360" w:lineRule="auto"/>
        <w:ind w:left="360"/>
        <w:rPr>
          <w:rFonts w:ascii="Cambria" w:hAnsi="Cambria"/>
          <w:sz w:val="24"/>
          <w:szCs w:val="24"/>
        </w:rPr>
      </w:pPr>
      <w:proofErr w:type="spellStart"/>
      <w:r w:rsidRPr="00CD2F5C">
        <w:rPr>
          <w:rFonts w:ascii="Cambria" w:hAnsi="Cambria"/>
          <w:sz w:val="24"/>
          <w:szCs w:val="24"/>
        </w:rPr>
        <w:t>Milaneschi</w:t>
      </w:r>
      <w:proofErr w:type="spellEnd"/>
      <w:r w:rsidRPr="00CD2F5C">
        <w:rPr>
          <w:rFonts w:ascii="Cambria" w:hAnsi="Cambria"/>
          <w:sz w:val="24"/>
          <w:szCs w:val="24"/>
        </w:rPr>
        <w:t xml:space="preserve">, Y. </w:t>
      </w:r>
      <w:r w:rsidRPr="00CD2F5C">
        <w:rPr>
          <w:rFonts w:ascii="Cambria" w:hAnsi="Cambria"/>
          <w:i/>
          <w:sz w:val="24"/>
          <w:szCs w:val="24"/>
        </w:rPr>
        <w:t>et al.</w:t>
      </w:r>
      <w:r w:rsidRPr="00CD2F5C">
        <w:rPr>
          <w:rFonts w:ascii="Cambria" w:hAnsi="Cambria"/>
          <w:sz w:val="24"/>
          <w:szCs w:val="24"/>
        </w:rPr>
        <w:t xml:space="preserve"> Association of inflammation with depression and anxiety: Evidence for symptom-specificity and potential causality from UK Biobank and NESDA cohorts. </w:t>
      </w:r>
      <w:r w:rsidRPr="00CD2F5C">
        <w:rPr>
          <w:rFonts w:ascii="Cambria" w:hAnsi="Cambria"/>
          <w:i/>
          <w:sz w:val="24"/>
          <w:szCs w:val="24"/>
        </w:rPr>
        <w:t>Mol. Psychiatry.</w:t>
      </w:r>
      <w:r w:rsidRPr="00CD2F5C">
        <w:rPr>
          <w:rFonts w:ascii="Cambria" w:hAnsi="Cambria"/>
          <w:sz w:val="24"/>
          <w:szCs w:val="24"/>
        </w:rPr>
        <w:t xml:space="preserve"> </w:t>
      </w:r>
      <w:r w:rsidRPr="00CD2F5C">
        <w:rPr>
          <w:rFonts w:ascii="Cambria" w:hAnsi="Cambria"/>
          <w:b/>
          <w:sz w:val="24"/>
          <w:szCs w:val="24"/>
        </w:rPr>
        <w:t>26</w:t>
      </w:r>
      <w:r w:rsidRPr="00CD2F5C">
        <w:rPr>
          <w:rFonts w:ascii="Cambria" w:hAnsi="Cambria"/>
          <w:sz w:val="24"/>
          <w:szCs w:val="24"/>
        </w:rPr>
        <w:t xml:space="preserve">(12), 7393–7402. </w:t>
      </w:r>
      <w:hyperlink r:id="rId73" w:history="1">
        <w:r w:rsidRPr="00CD2F5C">
          <w:rPr>
            <w:rStyle w:val="Hyperlink"/>
            <w:rFonts w:ascii="Cambria" w:hAnsi="Cambria"/>
            <w:sz w:val="24"/>
            <w:szCs w:val="24"/>
          </w:rPr>
          <w:t>https://d oi.org/1 0</w:t>
        </w:r>
      </w:hyperlink>
      <w:hyperlink r:id="rId74" w:history="1">
        <w:r w:rsidRPr="00CD2F5C">
          <w:rPr>
            <w:rStyle w:val="Hyperlink"/>
            <w:rFonts w:ascii="Cambria" w:hAnsi="Cambria"/>
            <w:sz w:val="24"/>
            <w:szCs w:val="24"/>
          </w:rPr>
          <w:t xml:space="preserve"> </w:t>
        </w:r>
      </w:hyperlink>
      <w:hyperlink r:id="rId75" w:history="1">
        <w:r w:rsidRPr="00CD2F5C">
          <w:rPr>
            <w:rStyle w:val="Hyperlink"/>
            <w:rFonts w:ascii="Cambria" w:hAnsi="Cambria"/>
            <w:sz w:val="24"/>
            <w:szCs w:val="24"/>
          </w:rPr>
          <w:t>.1038</w:t>
        </w:r>
      </w:hyperlink>
      <w:hyperlink r:id="rId76" w:history="1">
        <w:r w:rsidRPr="00CD2F5C">
          <w:rPr>
            <w:rStyle w:val="Hyperlink"/>
            <w:rFonts w:ascii="Cambria" w:hAnsi="Cambria"/>
            <w:sz w:val="24"/>
            <w:szCs w:val="24"/>
          </w:rPr>
          <w:t xml:space="preserve"> </w:t>
        </w:r>
      </w:hyperlink>
      <w:hyperlink r:id="rId77" w:history="1">
        <w:r w:rsidRPr="00CD2F5C">
          <w:rPr>
            <w:rStyle w:val="Hyperlink"/>
            <w:rFonts w:ascii="Cambria" w:hAnsi="Cambria"/>
            <w:sz w:val="24"/>
            <w:szCs w:val="24"/>
          </w:rPr>
          <w:t>/s 41380-021-0 1188-</w:t>
        </w:r>
      </w:hyperlink>
      <w:hyperlink r:id="rId78" w:history="1">
        <w:r w:rsidRPr="00CD2F5C">
          <w:rPr>
            <w:rStyle w:val="Hyperlink"/>
            <w:rFonts w:ascii="Cambria" w:hAnsi="Cambria"/>
            <w:sz w:val="24"/>
            <w:szCs w:val="24"/>
          </w:rPr>
          <w:t xml:space="preserve"> </w:t>
        </w:r>
      </w:hyperlink>
      <w:hyperlink r:id="rId79" w:history="1">
        <w:r w:rsidRPr="00CD2F5C">
          <w:rPr>
            <w:rStyle w:val="Hyperlink"/>
            <w:rFonts w:ascii="Cambria" w:hAnsi="Cambria"/>
            <w:sz w:val="24"/>
            <w:szCs w:val="24"/>
          </w:rPr>
          <w:t>w</w:t>
        </w:r>
      </w:hyperlink>
      <w:r w:rsidRPr="00CD2F5C">
        <w:rPr>
          <w:rFonts w:ascii="Cambria" w:hAnsi="Cambria"/>
          <w:sz w:val="24"/>
          <w:szCs w:val="24"/>
        </w:rPr>
        <w:t xml:space="preserve"> (2021).</w:t>
      </w:r>
    </w:p>
    <w:p w14:paraId="7D6F1493"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Zhuo, M. Neural mechanisms underlying anxiety-chronic pain interactions. </w:t>
      </w:r>
      <w:r w:rsidRPr="00CD2F5C">
        <w:rPr>
          <w:rFonts w:ascii="Cambria" w:hAnsi="Cambria"/>
          <w:i/>
          <w:sz w:val="24"/>
          <w:szCs w:val="24"/>
        </w:rPr>
        <w:t xml:space="preserve">Trends </w:t>
      </w:r>
      <w:proofErr w:type="spellStart"/>
      <w:r w:rsidRPr="00CD2F5C">
        <w:rPr>
          <w:rFonts w:ascii="Cambria" w:hAnsi="Cambria"/>
          <w:i/>
          <w:sz w:val="24"/>
          <w:szCs w:val="24"/>
        </w:rPr>
        <w:t>Neurosci</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39</w:t>
      </w:r>
      <w:r w:rsidRPr="00CD2F5C">
        <w:rPr>
          <w:rFonts w:ascii="Cambria" w:hAnsi="Cambria"/>
          <w:sz w:val="24"/>
          <w:szCs w:val="24"/>
        </w:rPr>
        <w:t xml:space="preserve">(3), 136–145. </w:t>
      </w:r>
      <w:hyperlink r:id="rId80"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 10.</w:t>
        </w:r>
      </w:hyperlink>
      <w:r w:rsidRPr="00CD2F5C">
        <w:rPr>
          <w:rFonts w:ascii="Cambria" w:hAnsi="Cambria"/>
          <w:sz w:val="24"/>
          <w:szCs w:val="24"/>
        </w:rPr>
        <w:t xml:space="preserve"> </w:t>
      </w:r>
      <w:hyperlink r:id="rId81" w:history="1">
        <w:r w:rsidRPr="00CD2F5C">
          <w:rPr>
            <w:rStyle w:val="Hyperlink"/>
            <w:rFonts w:ascii="Cambria" w:hAnsi="Cambria"/>
            <w:sz w:val="24"/>
            <w:szCs w:val="24"/>
          </w:rPr>
          <w:t>1016/j. tins. 2016. 01. 006</w:t>
        </w:r>
      </w:hyperlink>
      <w:r w:rsidRPr="00CD2F5C">
        <w:rPr>
          <w:rFonts w:ascii="Cambria" w:hAnsi="Cambria"/>
          <w:sz w:val="24"/>
          <w:szCs w:val="24"/>
        </w:rPr>
        <w:t xml:space="preserve"> (2016).</w:t>
      </w:r>
    </w:p>
    <w:p w14:paraId="2975355A"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Monnat, S. M. &amp; Chandler, R. F. Long term physical health consequences of adverse childhood experiences. </w:t>
      </w:r>
      <w:proofErr w:type="spellStart"/>
      <w:r w:rsidRPr="00CD2F5C">
        <w:rPr>
          <w:rFonts w:ascii="Cambria" w:hAnsi="Cambria"/>
          <w:i/>
          <w:sz w:val="24"/>
          <w:szCs w:val="24"/>
        </w:rPr>
        <w:t>Sociol</w:t>
      </w:r>
      <w:proofErr w:type="spellEnd"/>
      <w:r w:rsidRPr="00CD2F5C">
        <w:rPr>
          <w:rFonts w:ascii="Cambria" w:hAnsi="Cambria"/>
          <w:i/>
          <w:sz w:val="24"/>
          <w:szCs w:val="24"/>
        </w:rPr>
        <w:t>. Q.</w:t>
      </w:r>
      <w:r w:rsidRPr="00CD2F5C">
        <w:rPr>
          <w:rFonts w:ascii="Cambria" w:hAnsi="Cambria"/>
          <w:sz w:val="24"/>
          <w:szCs w:val="24"/>
        </w:rPr>
        <w:t xml:space="preserve"> </w:t>
      </w:r>
      <w:r w:rsidRPr="00CD2F5C">
        <w:rPr>
          <w:rFonts w:ascii="Cambria" w:hAnsi="Cambria"/>
          <w:b/>
          <w:sz w:val="24"/>
          <w:szCs w:val="24"/>
        </w:rPr>
        <w:t>56</w:t>
      </w:r>
      <w:r w:rsidRPr="00CD2F5C">
        <w:rPr>
          <w:rFonts w:ascii="Cambria" w:hAnsi="Cambria"/>
          <w:sz w:val="24"/>
          <w:szCs w:val="24"/>
        </w:rPr>
        <w:t xml:space="preserve">(4), 723–752. </w:t>
      </w:r>
      <w:hyperlink r:id="rId82"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org/ 10. 1111/ </w:t>
        </w:r>
        <w:proofErr w:type="spellStart"/>
        <w:r w:rsidRPr="00CD2F5C">
          <w:rPr>
            <w:rStyle w:val="Hyperlink"/>
            <w:rFonts w:ascii="Cambria" w:hAnsi="Cambria"/>
            <w:sz w:val="24"/>
            <w:szCs w:val="24"/>
          </w:rPr>
          <w:t>tsq</w:t>
        </w:r>
        <w:proofErr w:type="spellEnd"/>
        <w:r w:rsidRPr="00CD2F5C">
          <w:rPr>
            <w:rStyle w:val="Hyperlink"/>
            <w:rFonts w:ascii="Cambria" w:hAnsi="Cambria"/>
            <w:sz w:val="24"/>
            <w:szCs w:val="24"/>
          </w:rPr>
          <w:t>. 12107</w:t>
        </w:r>
      </w:hyperlink>
      <w:r w:rsidRPr="00CD2F5C">
        <w:rPr>
          <w:rFonts w:ascii="Cambria" w:hAnsi="Cambria"/>
          <w:sz w:val="24"/>
          <w:szCs w:val="24"/>
        </w:rPr>
        <w:t xml:space="preserve"> (2015).</w:t>
      </w:r>
    </w:p>
    <w:p w14:paraId="108C918B"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Ramirez, A. H. </w:t>
      </w:r>
      <w:r w:rsidRPr="00CD2F5C">
        <w:rPr>
          <w:rFonts w:ascii="Cambria" w:hAnsi="Cambria"/>
          <w:i/>
          <w:sz w:val="24"/>
          <w:szCs w:val="24"/>
        </w:rPr>
        <w:t>et al.</w:t>
      </w:r>
      <w:r w:rsidRPr="00CD2F5C">
        <w:rPr>
          <w:rFonts w:ascii="Cambria" w:hAnsi="Cambria"/>
          <w:sz w:val="24"/>
          <w:szCs w:val="24"/>
        </w:rPr>
        <w:t xml:space="preserve"> All of us research program. The all of us research program: Data quality, utility, and diversity. </w:t>
      </w:r>
      <w:r w:rsidRPr="00CD2F5C">
        <w:rPr>
          <w:rFonts w:ascii="Cambria" w:hAnsi="Cambria"/>
          <w:i/>
          <w:sz w:val="24"/>
          <w:szCs w:val="24"/>
        </w:rPr>
        <w:t>Patterns (NY)</w:t>
      </w:r>
      <w:r w:rsidRPr="00CD2F5C">
        <w:rPr>
          <w:rFonts w:ascii="Cambria" w:hAnsi="Cambria"/>
          <w:sz w:val="24"/>
          <w:szCs w:val="24"/>
        </w:rPr>
        <w:t xml:space="preserve"> </w:t>
      </w:r>
      <w:r w:rsidRPr="00CD2F5C">
        <w:rPr>
          <w:rFonts w:ascii="Cambria" w:hAnsi="Cambria"/>
          <w:b/>
          <w:sz w:val="24"/>
          <w:szCs w:val="24"/>
        </w:rPr>
        <w:t>3</w:t>
      </w:r>
      <w:r w:rsidRPr="00CD2F5C">
        <w:rPr>
          <w:rFonts w:ascii="Cambria" w:hAnsi="Cambria"/>
          <w:sz w:val="24"/>
          <w:szCs w:val="24"/>
        </w:rPr>
        <w:t xml:space="preserve">(8), 100570. </w:t>
      </w:r>
      <w:hyperlink r:id="rId83"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 10. 1016/j. patter. 2022. 100570</w:t>
        </w:r>
      </w:hyperlink>
      <w:r w:rsidRPr="00CD2F5C">
        <w:rPr>
          <w:rFonts w:ascii="Cambria" w:hAnsi="Cambria"/>
          <w:sz w:val="24"/>
          <w:szCs w:val="24"/>
        </w:rPr>
        <w:t xml:space="preserve"> (2022).</w:t>
      </w:r>
    </w:p>
    <w:p w14:paraId="7BB83EC9"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R Core Team. R: A language and environment for statistical computing. R Foundation for Statistical Computing, Vienna, Austria (2022). </w:t>
      </w:r>
      <w:hyperlink r:id="rId84" w:history="1">
        <w:r w:rsidRPr="00CD2F5C">
          <w:rPr>
            <w:rStyle w:val="Hyperlink"/>
            <w:rFonts w:ascii="Cambria" w:hAnsi="Cambria"/>
            <w:sz w:val="24"/>
            <w:szCs w:val="24"/>
          </w:rPr>
          <w:t xml:space="preserve">https:// www.R- </w:t>
        </w:r>
        <w:proofErr w:type="spellStart"/>
        <w:r w:rsidRPr="00CD2F5C">
          <w:rPr>
            <w:rStyle w:val="Hyperlink"/>
            <w:rFonts w:ascii="Cambria" w:hAnsi="Cambria"/>
            <w:sz w:val="24"/>
            <w:szCs w:val="24"/>
          </w:rPr>
          <w:t>proje</w:t>
        </w:r>
        <w:proofErr w:type="spellEnd"/>
        <w:r w:rsidRPr="00CD2F5C">
          <w:rPr>
            <w:rStyle w:val="Hyperlink"/>
            <w:rFonts w:ascii="Cambria" w:hAnsi="Cambria"/>
            <w:sz w:val="24"/>
            <w:szCs w:val="24"/>
          </w:rPr>
          <w:t xml:space="preserve"> ct. org/</w:t>
        </w:r>
      </w:hyperlink>
      <w:r w:rsidRPr="00CD2F5C">
        <w:rPr>
          <w:rFonts w:ascii="Cambria" w:hAnsi="Cambria"/>
          <w:sz w:val="24"/>
          <w:szCs w:val="24"/>
        </w:rPr>
        <w:t>.</w:t>
      </w:r>
    </w:p>
    <w:p w14:paraId="664D952F" w14:textId="76EE0FED" w:rsidR="009832C0" w:rsidRPr="00CD2F5C" w:rsidRDefault="009832C0" w:rsidP="00684AAB">
      <w:pPr>
        <w:spacing w:line="360" w:lineRule="auto"/>
        <w:ind w:left="360"/>
        <w:rPr>
          <w:rFonts w:ascii="Cambria" w:hAnsi="Cambria"/>
          <w:sz w:val="24"/>
          <w:szCs w:val="24"/>
        </w:rPr>
      </w:pPr>
      <w:r w:rsidRPr="1441A89E">
        <w:rPr>
          <w:rFonts w:ascii="Cambria" w:hAnsi="Cambria"/>
          <w:sz w:val="24"/>
          <w:szCs w:val="24"/>
        </w:rPr>
        <w:t xml:space="preserve">Fry, A. </w:t>
      </w:r>
      <w:r w:rsidRPr="1441A89E">
        <w:rPr>
          <w:rFonts w:ascii="Cambria" w:hAnsi="Cambria"/>
          <w:i/>
          <w:iCs/>
          <w:sz w:val="24"/>
          <w:szCs w:val="24"/>
        </w:rPr>
        <w:t>et al.</w:t>
      </w:r>
      <w:r w:rsidRPr="1441A89E">
        <w:rPr>
          <w:rFonts w:ascii="Cambria" w:hAnsi="Cambria"/>
          <w:sz w:val="24"/>
          <w:szCs w:val="24"/>
        </w:rPr>
        <w:t xml:space="preserve"> Comparison of sociodemographic and health-related characteristics of UK biobank participants with those of the general population. </w:t>
      </w:r>
      <w:r w:rsidRPr="1441A89E">
        <w:rPr>
          <w:rFonts w:ascii="Cambria" w:hAnsi="Cambria"/>
          <w:i/>
          <w:iCs/>
          <w:sz w:val="24"/>
          <w:szCs w:val="24"/>
        </w:rPr>
        <w:t xml:space="preserve">Am. J. </w:t>
      </w:r>
      <w:proofErr w:type="spellStart"/>
      <w:r w:rsidRPr="1441A89E">
        <w:rPr>
          <w:rFonts w:ascii="Cambria" w:hAnsi="Cambria"/>
          <w:i/>
          <w:iCs/>
          <w:sz w:val="24"/>
          <w:szCs w:val="24"/>
        </w:rPr>
        <w:t>Epidemiol</w:t>
      </w:r>
      <w:proofErr w:type="spellEnd"/>
      <w:r w:rsidRPr="1441A89E">
        <w:rPr>
          <w:rFonts w:ascii="Cambria" w:hAnsi="Cambria"/>
          <w:i/>
          <w:iCs/>
          <w:sz w:val="24"/>
          <w:szCs w:val="24"/>
        </w:rPr>
        <w:t>.</w:t>
      </w:r>
      <w:r w:rsidRPr="1441A89E">
        <w:rPr>
          <w:rFonts w:ascii="Cambria" w:hAnsi="Cambria"/>
          <w:sz w:val="24"/>
          <w:szCs w:val="24"/>
        </w:rPr>
        <w:t xml:space="preserve"> </w:t>
      </w:r>
      <w:r w:rsidRPr="1441A89E">
        <w:rPr>
          <w:rFonts w:ascii="Cambria" w:hAnsi="Cambria"/>
          <w:b/>
          <w:bCs/>
          <w:sz w:val="24"/>
          <w:szCs w:val="24"/>
        </w:rPr>
        <w:t>186</w:t>
      </w:r>
      <w:r w:rsidRPr="1441A89E">
        <w:rPr>
          <w:rFonts w:ascii="Cambria" w:hAnsi="Cambria"/>
          <w:sz w:val="24"/>
          <w:szCs w:val="24"/>
        </w:rPr>
        <w:t xml:space="preserve">(9), 1026–1034. </w:t>
      </w:r>
      <w:hyperlink r:id="rId85">
        <w:r w:rsidRPr="1441A89E">
          <w:rPr>
            <w:rStyle w:val="Hyperlink"/>
            <w:rFonts w:ascii="Cambria" w:hAnsi="Cambria"/>
            <w:sz w:val="24"/>
            <w:szCs w:val="24"/>
          </w:rPr>
          <w:t xml:space="preserve">https:// </w:t>
        </w:r>
        <w:proofErr w:type="spellStart"/>
        <w:r w:rsidRPr="1441A89E">
          <w:rPr>
            <w:rStyle w:val="Hyperlink"/>
            <w:rFonts w:ascii="Cambria" w:hAnsi="Cambria"/>
            <w:sz w:val="24"/>
            <w:szCs w:val="24"/>
          </w:rPr>
          <w:t>doi</w:t>
        </w:r>
        <w:proofErr w:type="spellEnd"/>
        <w:r w:rsidRPr="1441A89E">
          <w:rPr>
            <w:rStyle w:val="Hyperlink"/>
            <w:rFonts w:ascii="Cambria" w:hAnsi="Cambria"/>
            <w:sz w:val="24"/>
            <w:szCs w:val="24"/>
          </w:rPr>
          <w:t xml:space="preserve">. org/ 10. 1093/ </w:t>
        </w:r>
        <w:proofErr w:type="spellStart"/>
        <w:r w:rsidRPr="1441A89E">
          <w:rPr>
            <w:rStyle w:val="Hyperlink"/>
            <w:rFonts w:ascii="Cambria" w:hAnsi="Cambria"/>
            <w:sz w:val="24"/>
            <w:szCs w:val="24"/>
          </w:rPr>
          <w:t>aje</w:t>
        </w:r>
        <w:proofErr w:type="spellEnd"/>
        <w:r w:rsidRPr="1441A89E">
          <w:rPr>
            <w:rStyle w:val="Hyperlink"/>
            <w:rFonts w:ascii="Cambria" w:hAnsi="Cambria"/>
            <w:sz w:val="24"/>
            <w:szCs w:val="24"/>
          </w:rPr>
          <w:t>/ kwx246</w:t>
        </w:r>
      </w:hyperlink>
      <w:r w:rsidRPr="1441A89E">
        <w:rPr>
          <w:rFonts w:ascii="Cambria" w:hAnsi="Cambria"/>
          <w:sz w:val="24"/>
          <w:szCs w:val="24"/>
        </w:rPr>
        <w:t xml:space="preserve"> (2017).</w:t>
      </w:r>
    </w:p>
    <w:p w14:paraId="49612921" w14:textId="0CBE183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Office for National Statistics; General Register Office for Scotland; Northern Ireland Statistics and Research Agency. 2001 Census aggregate. </w:t>
      </w:r>
      <w:hyperlink r:id="rId86" w:history="1">
        <w:r w:rsidRPr="00CD2F5C">
          <w:rPr>
            <w:rStyle w:val="Hyperlink"/>
            <w:rFonts w:ascii="Cambria" w:hAnsi="Cambria"/>
            <w:sz w:val="24"/>
            <w:szCs w:val="24"/>
          </w:rPr>
          <w:t xml:space="preserve">https:// disco ver. </w:t>
        </w:r>
        <w:proofErr w:type="spellStart"/>
        <w:r w:rsidRPr="00CD2F5C">
          <w:rPr>
            <w:rStyle w:val="Hyperlink"/>
            <w:rFonts w:ascii="Cambria" w:hAnsi="Cambria"/>
            <w:sz w:val="24"/>
            <w:szCs w:val="24"/>
          </w:rPr>
          <w:t>ukdat</w:t>
        </w:r>
        <w:proofErr w:type="spellEnd"/>
        <w:r w:rsidRPr="00CD2F5C">
          <w:rPr>
            <w:rStyle w:val="Hyperlink"/>
            <w:rFonts w:ascii="Cambria" w:hAnsi="Cambria"/>
            <w:sz w:val="24"/>
            <w:szCs w:val="24"/>
          </w:rPr>
          <w:t xml:space="preserve"> </w:t>
        </w:r>
        <w:proofErr w:type="spellStart"/>
        <w:r w:rsidRPr="00CD2F5C">
          <w:rPr>
            <w:rStyle w:val="Hyperlink"/>
            <w:rFonts w:ascii="Cambria" w:hAnsi="Cambria"/>
            <w:sz w:val="24"/>
            <w:szCs w:val="24"/>
          </w:rPr>
          <w:t>aserv</w:t>
        </w:r>
        <w:proofErr w:type="spellEnd"/>
        <w:r w:rsidRPr="00CD2F5C">
          <w:rPr>
            <w:rStyle w:val="Hyperlink"/>
            <w:rFonts w:ascii="Cambria" w:hAnsi="Cambria"/>
            <w:sz w:val="24"/>
            <w:szCs w:val="24"/>
          </w:rPr>
          <w:t xml:space="preserve"> ice. ac. </w:t>
        </w:r>
        <w:proofErr w:type="spellStart"/>
        <w:r w:rsidRPr="00CD2F5C">
          <w:rPr>
            <w:rStyle w:val="Hyperlink"/>
            <w:rFonts w:ascii="Cambria" w:hAnsi="Cambria"/>
            <w:sz w:val="24"/>
            <w:szCs w:val="24"/>
          </w:rPr>
          <w:t>uk</w:t>
        </w:r>
        <w:proofErr w:type="spellEnd"/>
        <w:r w:rsidRPr="00CD2F5C">
          <w:rPr>
            <w:rStyle w:val="Hyperlink"/>
            <w:rFonts w:ascii="Cambria" w:hAnsi="Cambria"/>
            <w:sz w:val="24"/>
            <w:szCs w:val="24"/>
          </w:rPr>
          <w:t xml:space="preserve">/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2001- census- </w:t>
        </w:r>
        <w:proofErr w:type="spellStart"/>
        <w:r w:rsidRPr="00CD2F5C">
          <w:rPr>
            <w:rStyle w:val="Hyperlink"/>
            <w:rFonts w:ascii="Cambria" w:hAnsi="Cambria"/>
            <w:sz w:val="24"/>
            <w:szCs w:val="24"/>
          </w:rPr>
          <w:t>aggre</w:t>
        </w:r>
        <w:proofErr w:type="spellEnd"/>
        <w:r w:rsidRPr="00CD2F5C">
          <w:rPr>
            <w:rStyle w:val="Hyperlink"/>
            <w:rFonts w:ascii="Cambria" w:hAnsi="Cambria"/>
            <w:sz w:val="24"/>
            <w:szCs w:val="24"/>
          </w:rPr>
          <w:t xml:space="preserve"> gate</w:t>
        </w:r>
      </w:hyperlink>
      <w:r w:rsidRPr="00CD2F5C">
        <w:rPr>
          <w:rFonts w:ascii="Cambria" w:hAnsi="Cambria"/>
          <w:sz w:val="24"/>
          <w:szCs w:val="24"/>
        </w:rPr>
        <w:t>. Published 2005. Updated June 2016.</w:t>
      </w:r>
    </w:p>
    <w:p w14:paraId="2F73B6E6" w14:textId="77777777" w:rsidR="009832C0" w:rsidRPr="00CD2F5C" w:rsidRDefault="009832C0" w:rsidP="00684AAB">
      <w:pPr>
        <w:spacing w:line="360" w:lineRule="auto"/>
        <w:ind w:left="360"/>
        <w:rPr>
          <w:rFonts w:ascii="Cambria" w:hAnsi="Cambria"/>
          <w:sz w:val="24"/>
          <w:szCs w:val="24"/>
        </w:rPr>
      </w:pPr>
      <w:proofErr w:type="spellStart"/>
      <w:r w:rsidRPr="00CD2F5C">
        <w:rPr>
          <w:rFonts w:ascii="Cambria" w:hAnsi="Cambria"/>
          <w:sz w:val="24"/>
          <w:szCs w:val="24"/>
        </w:rPr>
        <w:t>Broekhof</w:t>
      </w:r>
      <w:proofErr w:type="spellEnd"/>
      <w:r w:rsidRPr="00CD2F5C">
        <w:rPr>
          <w:rFonts w:ascii="Cambria" w:hAnsi="Cambria"/>
          <w:sz w:val="24"/>
          <w:szCs w:val="24"/>
        </w:rPr>
        <w:t xml:space="preserve">, R., Nordahl, H. M., </w:t>
      </w:r>
      <w:proofErr w:type="spellStart"/>
      <w:r w:rsidRPr="00CD2F5C">
        <w:rPr>
          <w:rFonts w:ascii="Cambria" w:hAnsi="Cambria"/>
          <w:sz w:val="24"/>
          <w:szCs w:val="24"/>
        </w:rPr>
        <w:t>Bjørnelv</w:t>
      </w:r>
      <w:proofErr w:type="spellEnd"/>
      <w:r w:rsidRPr="00CD2F5C">
        <w:rPr>
          <w:rFonts w:ascii="Cambria" w:hAnsi="Cambria"/>
          <w:sz w:val="24"/>
          <w:szCs w:val="24"/>
        </w:rPr>
        <w:t xml:space="preserve">, S. &amp; Selvik, S. G. Prevalence of adverse childhood experiences and their co-occurrence in a large population of adolescents: A Young HUNT 3 study. </w:t>
      </w:r>
      <w:r w:rsidRPr="00CD2F5C">
        <w:rPr>
          <w:rFonts w:ascii="Cambria" w:hAnsi="Cambria"/>
          <w:i/>
          <w:sz w:val="24"/>
          <w:szCs w:val="24"/>
        </w:rPr>
        <w:t xml:space="preserve">Soc. Psychiatry </w:t>
      </w:r>
      <w:proofErr w:type="spellStart"/>
      <w:r w:rsidRPr="00CD2F5C">
        <w:rPr>
          <w:rFonts w:ascii="Cambria" w:hAnsi="Cambria"/>
          <w:i/>
          <w:sz w:val="24"/>
          <w:szCs w:val="24"/>
        </w:rPr>
        <w:t>Psychiatr</w:t>
      </w:r>
      <w:proofErr w:type="spellEnd"/>
      <w:r w:rsidRPr="00CD2F5C">
        <w:rPr>
          <w:rFonts w:ascii="Cambria" w:hAnsi="Cambria"/>
          <w:i/>
          <w:sz w:val="24"/>
          <w:szCs w:val="24"/>
        </w:rPr>
        <w:t xml:space="preserve">. </w:t>
      </w:r>
      <w:proofErr w:type="spellStart"/>
      <w:r w:rsidRPr="00CD2F5C">
        <w:rPr>
          <w:rFonts w:ascii="Cambria" w:hAnsi="Cambria"/>
          <w:i/>
          <w:sz w:val="24"/>
          <w:szCs w:val="24"/>
        </w:rPr>
        <w:t>Epidemiol</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57</w:t>
      </w:r>
      <w:r w:rsidRPr="00CD2F5C">
        <w:rPr>
          <w:rFonts w:ascii="Cambria" w:hAnsi="Cambria"/>
          <w:sz w:val="24"/>
          <w:szCs w:val="24"/>
        </w:rPr>
        <w:t xml:space="preserve">(12), 2359–2366. </w:t>
      </w:r>
      <w:hyperlink r:id="rId87" w:history="1">
        <w:r w:rsidRPr="00CD2F5C">
          <w:rPr>
            <w:rStyle w:val="Hyperlink"/>
            <w:rFonts w:ascii="Cambria" w:hAnsi="Cambria"/>
            <w:sz w:val="24"/>
            <w:szCs w:val="24"/>
          </w:rPr>
          <w:t>https://d oi.</w:t>
        </w:r>
      </w:hyperlink>
      <w:r w:rsidRPr="00CD2F5C">
        <w:rPr>
          <w:rFonts w:ascii="Cambria" w:hAnsi="Cambria"/>
          <w:sz w:val="24"/>
          <w:szCs w:val="24"/>
        </w:rPr>
        <w:t xml:space="preserve"> </w:t>
      </w:r>
      <w:hyperlink r:id="rId88" w:history="1">
        <w:r w:rsidRPr="00CD2F5C">
          <w:rPr>
            <w:rStyle w:val="Hyperlink"/>
            <w:rFonts w:ascii="Cambria" w:hAnsi="Cambria"/>
            <w:sz w:val="24"/>
            <w:szCs w:val="24"/>
          </w:rPr>
          <w:t>org/ 10. 1007/ s00127- 022- 02277-z</w:t>
        </w:r>
      </w:hyperlink>
      <w:r w:rsidRPr="00CD2F5C">
        <w:rPr>
          <w:rFonts w:ascii="Cambria" w:hAnsi="Cambria"/>
          <w:sz w:val="24"/>
          <w:szCs w:val="24"/>
        </w:rPr>
        <w:t xml:space="preserve"> (2022).</w:t>
      </w:r>
    </w:p>
    <w:p w14:paraId="053C5C37"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lastRenderedPageBreak/>
        <w:t xml:space="preserve">Elmore, A. L. &amp; Crouch, E. The association of adverse childhood experiences with anxiety and depression for children and youth, 8 to 17 years of age. </w:t>
      </w:r>
      <w:r w:rsidRPr="00CD2F5C">
        <w:rPr>
          <w:rFonts w:ascii="Cambria" w:hAnsi="Cambria"/>
          <w:i/>
          <w:sz w:val="24"/>
          <w:szCs w:val="24"/>
        </w:rPr>
        <w:t xml:space="preserve">Acad. </w:t>
      </w:r>
      <w:proofErr w:type="spellStart"/>
      <w:r w:rsidRPr="00CD2F5C">
        <w:rPr>
          <w:rFonts w:ascii="Cambria" w:hAnsi="Cambria"/>
          <w:i/>
          <w:sz w:val="24"/>
          <w:szCs w:val="24"/>
        </w:rPr>
        <w:t>Pediatr</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20</w:t>
      </w:r>
      <w:r w:rsidRPr="00CD2F5C">
        <w:rPr>
          <w:rFonts w:ascii="Cambria" w:hAnsi="Cambria"/>
          <w:sz w:val="24"/>
          <w:szCs w:val="24"/>
        </w:rPr>
        <w:t>(5), 600–608 (2020).</w:t>
      </w:r>
    </w:p>
    <w:p w14:paraId="77AA6878"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Groenewald, C. B., Murray, C. B. &amp; Palermo, T. M. Adverse childhood experiences and chronic pain among children and adolescents in the United States. </w:t>
      </w:r>
      <w:r w:rsidRPr="00CD2F5C">
        <w:rPr>
          <w:rFonts w:ascii="Cambria" w:hAnsi="Cambria"/>
          <w:i/>
          <w:sz w:val="24"/>
          <w:szCs w:val="24"/>
        </w:rPr>
        <w:t>Pain Rep.</w:t>
      </w:r>
      <w:r w:rsidRPr="00CD2F5C">
        <w:rPr>
          <w:rFonts w:ascii="Cambria" w:hAnsi="Cambria"/>
          <w:sz w:val="24"/>
          <w:szCs w:val="24"/>
        </w:rPr>
        <w:t xml:space="preserve"> </w:t>
      </w:r>
      <w:r w:rsidRPr="00CD2F5C">
        <w:rPr>
          <w:rFonts w:ascii="Cambria" w:hAnsi="Cambria"/>
          <w:b/>
          <w:sz w:val="24"/>
          <w:szCs w:val="24"/>
        </w:rPr>
        <w:t>5</w:t>
      </w:r>
      <w:r w:rsidRPr="00CD2F5C">
        <w:rPr>
          <w:rFonts w:ascii="Cambria" w:hAnsi="Cambria"/>
          <w:sz w:val="24"/>
          <w:szCs w:val="24"/>
        </w:rPr>
        <w:t>(5), e839 (2020).</w:t>
      </w:r>
    </w:p>
    <w:p w14:paraId="5F76B02A"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Morris, P. </w:t>
      </w:r>
      <w:r w:rsidRPr="00CD2F5C">
        <w:rPr>
          <w:rFonts w:ascii="Cambria" w:hAnsi="Cambria"/>
          <w:i/>
          <w:sz w:val="24"/>
          <w:szCs w:val="24"/>
        </w:rPr>
        <w:t>et al.</w:t>
      </w:r>
      <w:r w:rsidRPr="00CD2F5C">
        <w:rPr>
          <w:rFonts w:ascii="Cambria" w:hAnsi="Cambria"/>
          <w:sz w:val="24"/>
          <w:szCs w:val="24"/>
        </w:rPr>
        <w:t xml:space="preserve"> A systematic review of the role of inflammatory biomarkers in acute, subacute and chronic non-specific low back pain. </w:t>
      </w:r>
      <w:r w:rsidRPr="00CD2F5C">
        <w:rPr>
          <w:rFonts w:ascii="Cambria" w:hAnsi="Cambria"/>
          <w:i/>
          <w:sz w:val="24"/>
          <w:szCs w:val="24"/>
        </w:rPr>
        <w:t xml:space="preserve">BMC </w:t>
      </w:r>
      <w:proofErr w:type="spellStart"/>
      <w:r w:rsidRPr="00CD2F5C">
        <w:rPr>
          <w:rFonts w:ascii="Cambria" w:hAnsi="Cambria"/>
          <w:i/>
          <w:sz w:val="24"/>
          <w:szCs w:val="24"/>
        </w:rPr>
        <w:t>Musculoskelet</w:t>
      </w:r>
      <w:proofErr w:type="spellEnd"/>
      <w:r w:rsidRPr="00CD2F5C">
        <w:rPr>
          <w:rFonts w:ascii="Cambria" w:hAnsi="Cambria"/>
          <w:i/>
          <w:sz w:val="24"/>
          <w:szCs w:val="24"/>
        </w:rPr>
        <w:t xml:space="preserve">. </w:t>
      </w:r>
      <w:proofErr w:type="spellStart"/>
      <w:r w:rsidRPr="00CD2F5C">
        <w:rPr>
          <w:rFonts w:ascii="Cambria" w:hAnsi="Cambria"/>
          <w:i/>
          <w:sz w:val="24"/>
          <w:szCs w:val="24"/>
        </w:rPr>
        <w:t>Disord</w:t>
      </w:r>
      <w:proofErr w:type="spellEnd"/>
      <w:r w:rsidRPr="00CD2F5C">
        <w:rPr>
          <w:rFonts w:ascii="Cambria" w:hAnsi="Cambria"/>
          <w:i/>
          <w:sz w:val="24"/>
          <w:szCs w:val="24"/>
        </w:rPr>
        <w:t>.</w:t>
      </w:r>
      <w:r w:rsidRPr="00CD2F5C">
        <w:rPr>
          <w:rFonts w:ascii="Cambria" w:hAnsi="Cambria"/>
          <w:sz w:val="24"/>
          <w:szCs w:val="24"/>
        </w:rPr>
        <w:t xml:space="preserve"> </w:t>
      </w:r>
      <w:r w:rsidRPr="00CD2F5C">
        <w:rPr>
          <w:rFonts w:ascii="Cambria" w:hAnsi="Cambria"/>
          <w:b/>
          <w:sz w:val="24"/>
          <w:szCs w:val="24"/>
        </w:rPr>
        <w:t>21</w:t>
      </w:r>
      <w:r w:rsidRPr="00CD2F5C">
        <w:rPr>
          <w:rFonts w:ascii="Cambria" w:hAnsi="Cambria"/>
          <w:sz w:val="24"/>
          <w:szCs w:val="24"/>
        </w:rPr>
        <w:t>, 142 (2020).</w:t>
      </w:r>
    </w:p>
    <w:p w14:paraId="67511CBD" w14:textId="77777777" w:rsidR="009832C0" w:rsidRPr="00CD2F5C" w:rsidRDefault="009832C0" w:rsidP="00684AAB">
      <w:pPr>
        <w:spacing w:line="360" w:lineRule="auto"/>
        <w:ind w:left="360"/>
        <w:rPr>
          <w:rFonts w:ascii="Cambria" w:hAnsi="Cambria"/>
          <w:sz w:val="24"/>
          <w:szCs w:val="24"/>
        </w:rPr>
      </w:pPr>
      <w:proofErr w:type="spellStart"/>
      <w:r w:rsidRPr="00CD2F5C">
        <w:rPr>
          <w:rFonts w:ascii="Cambria" w:hAnsi="Cambria"/>
          <w:sz w:val="24"/>
          <w:szCs w:val="24"/>
        </w:rPr>
        <w:t>Iob</w:t>
      </w:r>
      <w:proofErr w:type="spellEnd"/>
      <w:r w:rsidRPr="00CD2F5C">
        <w:rPr>
          <w:rFonts w:ascii="Cambria" w:hAnsi="Cambria"/>
          <w:sz w:val="24"/>
          <w:szCs w:val="24"/>
        </w:rPr>
        <w:t xml:space="preserve">, E., Lacey, R. &amp; Steptoe, A. The long-term association of adverse childhood experiences with C-reactive protein and hair cortisol: Cumulative risk versus dimensions of adversity. </w:t>
      </w:r>
      <w:r w:rsidRPr="00CD2F5C">
        <w:rPr>
          <w:rFonts w:ascii="Cambria" w:hAnsi="Cambria"/>
          <w:i/>
          <w:sz w:val="24"/>
          <w:szCs w:val="24"/>
        </w:rPr>
        <w:t xml:space="preserve">Brain </w:t>
      </w:r>
      <w:proofErr w:type="spellStart"/>
      <w:r w:rsidRPr="00CD2F5C">
        <w:rPr>
          <w:rFonts w:ascii="Cambria" w:hAnsi="Cambria"/>
          <w:i/>
          <w:sz w:val="24"/>
          <w:szCs w:val="24"/>
        </w:rPr>
        <w:t>Behav</w:t>
      </w:r>
      <w:proofErr w:type="spellEnd"/>
      <w:r w:rsidRPr="00CD2F5C">
        <w:rPr>
          <w:rFonts w:ascii="Cambria" w:hAnsi="Cambria"/>
          <w:i/>
          <w:sz w:val="24"/>
          <w:szCs w:val="24"/>
        </w:rPr>
        <w:t>. Immun.</w:t>
      </w:r>
      <w:r w:rsidRPr="00CD2F5C">
        <w:rPr>
          <w:rFonts w:ascii="Cambria" w:hAnsi="Cambria"/>
          <w:sz w:val="24"/>
          <w:szCs w:val="24"/>
        </w:rPr>
        <w:t xml:space="preserve"> </w:t>
      </w:r>
      <w:r w:rsidRPr="00CD2F5C">
        <w:rPr>
          <w:rFonts w:ascii="Cambria" w:hAnsi="Cambria"/>
          <w:b/>
          <w:sz w:val="24"/>
          <w:szCs w:val="24"/>
        </w:rPr>
        <w:t>87</w:t>
      </w:r>
      <w:r w:rsidRPr="00CD2F5C">
        <w:rPr>
          <w:rFonts w:ascii="Cambria" w:hAnsi="Cambria"/>
          <w:sz w:val="24"/>
          <w:szCs w:val="24"/>
        </w:rPr>
        <w:t>, 318–328 (2020).</w:t>
      </w:r>
    </w:p>
    <w:p w14:paraId="2DC86490" w14:textId="77777777" w:rsidR="009832C0" w:rsidRPr="00CD2F5C" w:rsidRDefault="009832C0" w:rsidP="00684AAB">
      <w:pPr>
        <w:spacing w:line="360" w:lineRule="auto"/>
        <w:ind w:left="360"/>
        <w:rPr>
          <w:rFonts w:ascii="Cambria" w:hAnsi="Cambria"/>
          <w:sz w:val="24"/>
          <w:szCs w:val="24"/>
        </w:rPr>
      </w:pPr>
      <w:proofErr w:type="spellStart"/>
      <w:r w:rsidRPr="00CD2F5C">
        <w:rPr>
          <w:rFonts w:ascii="Cambria" w:hAnsi="Cambria"/>
          <w:sz w:val="24"/>
          <w:szCs w:val="24"/>
        </w:rPr>
        <w:t>Nettis</w:t>
      </w:r>
      <w:proofErr w:type="spellEnd"/>
      <w:r w:rsidRPr="00CD2F5C">
        <w:rPr>
          <w:rFonts w:ascii="Cambria" w:hAnsi="Cambria"/>
          <w:sz w:val="24"/>
          <w:szCs w:val="24"/>
        </w:rPr>
        <w:t xml:space="preserve">, M. A. </w:t>
      </w:r>
      <w:r w:rsidRPr="00CD2F5C">
        <w:rPr>
          <w:rFonts w:ascii="Cambria" w:hAnsi="Cambria"/>
          <w:i/>
          <w:sz w:val="24"/>
          <w:szCs w:val="24"/>
        </w:rPr>
        <w:t>et al.</w:t>
      </w:r>
      <w:r w:rsidRPr="00CD2F5C">
        <w:rPr>
          <w:rFonts w:ascii="Cambria" w:hAnsi="Cambria"/>
          <w:sz w:val="24"/>
          <w:szCs w:val="24"/>
        </w:rPr>
        <w:t xml:space="preserve"> Augmentation therapy with minocycline in treatment-resistant depression patients with low-grade peripheral inflammation: Results from a double-blind randomised clinical trial. </w:t>
      </w:r>
      <w:r w:rsidRPr="00CD2F5C">
        <w:rPr>
          <w:rFonts w:ascii="Cambria" w:hAnsi="Cambria"/>
          <w:i/>
          <w:sz w:val="24"/>
          <w:szCs w:val="24"/>
        </w:rPr>
        <w:t>Neuropsychopharmacology.</w:t>
      </w:r>
      <w:r w:rsidRPr="00CD2F5C">
        <w:rPr>
          <w:rFonts w:ascii="Cambria" w:hAnsi="Cambria"/>
          <w:sz w:val="24"/>
          <w:szCs w:val="24"/>
        </w:rPr>
        <w:t xml:space="preserve"> </w:t>
      </w:r>
      <w:r w:rsidRPr="00CD2F5C">
        <w:rPr>
          <w:rFonts w:ascii="Cambria" w:hAnsi="Cambria"/>
          <w:b/>
          <w:sz w:val="24"/>
          <w:szCs w:val="24"/>
        </w:rPr>
        <w:t>46</w:t>
      </w:r>
      <w:r w:rsidRPr="00CD2F5C">
        <w:rPr>
          <w:rFonts w:ascii="Cambria" w:hAnsi="Cambria"/>
          <w:sz w:val="24"/>
          <w:szCs w:val="24"/>
        </w:rPr>
        <w:t xml:space="preserve">(5), 939–948. </w:t>
      </w:r>
      <w:hyperlink r:id="rId89"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w:t>
        </w:r>
      </w:hyperlink>
      <w:r w:rsidRPr="00CD2F5C">
        <w:rPr>
          <w:rFonts w:ascii="Cambria" w:hAnsi="Cambria"/>
          <w:sz w:val="24"/>
          <w:szCs w:val="24"/>
        </w:rPr>
        <w:t xml:space="preserve"> </w:t>
      </w:r>
      <w:hyperlink r:id="rId90" w:history="1">
        <w:r w:rsidRPr="00CD2F5C">
          <w:rPr>
            <w:rStyle w:val="Hyperlink"/>
            <w:rFonts w:ascii="Cambria" w:hAnsi="Cambria"/>
            <w:sz w:val="24"/>
            <w:szCs w:val="24"/>
          </w:rPr>
          <w:t>10. 1038/ s41386- 020- 00948-6</w:t>
        </w:r>
      </w:hyperlink>
      <w:r w:rsidRPr="00CD2F5C">
        <w:rPr>
          <w:rFonts w:ascii="Cambria" w:hAnsi="Cambria"/>
          <w:sz w:val="24"/>
          <w:szCs w:val="24"/>
        </w:rPr>
        <w:t xml:space="preserve"> (2021).</w:t>
      </w:r>
    </w:p>
    <w:p w14:paraId="7BC6C359"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van Eeden, W. A. </w:t>
      </w:r>
      <w:r w:rsidRPr="00CD2F5C">
        <w:rPr>
          <w:rFonts w:ascii="Cambria" w:hAnsi="Cambria"/>
          <w:i/>
          <w:sz w:val="24"/>
          <w:szCs w:val="24"/>
        </w:rPr>
        <w:t>et al.</w:t>
      </w:r>
      <w:r w:rsidRPr="00CD2F5C">
        <w:rPr>
          <w:rFonts w:ascii="Cambria" w:hAnsi="Cambria"/>
          <w:sz w:val="24"/>
          <w:szCs w:val="24"/>
        </w:rPr>
        <w:t xml:space="preserve"> Basal and LPS-stimulated inflammatory markers and the course of individual symptoms of depression. </w:t>
      </w:r>
      <w:r w:rsidRPr="00CD2F5C">
        <w:rPr>
          <w:rFonts w:ascii="Cambria" w:hAnsi="Cambria"/>
          <w:i/>
          <w:sz w:val="24"/>
          <w:szCs w:val="24"/>
        </w:rPr>
        <w:t>Transl. Psychiatry</w:t>
      </w:r>
      <w:r w:rsidRPr="00CD2F5C">
        <w:rPr>
          <w:rFonts w:ascii="Cambria" w:hAnsi="Cambria"/>
          <w:sz w:val="24"/>
          <w:szCs w:val="24"/>
        </w:rPr>
        <w:t xml:space="preserve"> </w:t>
      </w:r>
      <w:r w:rsidRPr="00CD2F5C">
        <w:rPr>
          <w:rFonts w:ascii="Cambria" w:hAnsi="Cambria"/>
          <w:b/>
          <w:sz w:val="24"/>
          <w:szCs w:val="24"/>
        </w:rPr>
        <w:t>10</w:t>
      </w:r>
      <w:r w:rsidRPr="00CD2F5C">
        <w:rPr>
          <w:rFonts w:ascii="Cambria" w:hAnsi="Cambria"/>
          <w:sz w:val="24"/>
          <w:szCs w:val="24"/>
        </w:rPr>
        <w:t xml:space="preserve">, 235. </w:t>
      </w:r>
      <w:hyperlink r:id="rId91"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org/ 10. 1038/ s41398- 020- 00920-4</w:t>
        </w:r>
      </w:hyperlink>
      <w:r w:rsidRPr="00CD2F5C">
        <w:rPr>
          <w:rFonts w:ascii="Cambria" w:hAnsi="Cambria"/>
          <w:sz w:val="24"/>
          <w:szCs w:val="24"/>
        </w:rPr>
        <w:t xml:space="preserve"> (2020).</w:t>
      </w:r>
    </w:p>
    <w:p w14:paraId="134121C6"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van Eeden, W. A. </w:t>
      </w:r>
      <w:r w:rsidRPr="00CD2F5C">
        <w:rPr>
          <w:rFonts w:ascii="Cambria" w:hAnsi="Cambria"/>
          <w:i/>
          <w:sz w:val="24"/>
          <w:szCs w:val="24"/>
        </w:rPr>
        <w:t>et al.</w:t>
      </w:r>
      <w:r w:rsidRPr="00CD2F5C">
        <w:rPr>
          <w:rFonts w:ascii="Cambria" w:hAnsi="Cambria"/>
          <w:sz w:val="24"/>
          <w:szCs w:val="24"/>
        </w:rPr>
        <w:t xml:space="preserve"> Basal and LPS-stimulated inflammatory markers and the course of anxiety symptoms. </w:t>
      </w:r>
      <w:r w:rsidRPr="00CD2F5C">
        <w:rPr>
          <w:rFonts w:ascii="Cambria" w:hAnsi="Cambria"/>
          <w:i/>
          <w:sz w:val="24"/>
          <w:szCs w:val="24"/>
        </w:rPr>
        <w:t xml:space="preserve">Brain </w:t>
      </w:r>
      <w:proofErr w:type="spellStart"/>
      <w:r w:rsidRPr="00CD2F5C">
        <w:rPr>
          <w:rFonts w:ascii="Cambria" w:hAnsi="Cambria"/>
          <w:i/>
          <w:sz w:val="24"/>
          <w:szCs w:val="24"/>
        </w:rPr>
        <w:t>Behav</w:t>
      </w:r>
      <w:proofErr w:type="spellEnd"/>
      <w:r w:rsidRPr="00CD2F5C">
        <w:rPr>
          <w:rFonts w:ascii="Cambria" w:hAnsi="Cambria"/>
          <w:i/>
          <w:sz w:val="24"/>
          <w:szCs w:val="24"/>
        </w:rPr>
        <w:t>. Immun.</w:t>
      </w:r>
      <w:r w:rsidRPr="00CD2F5C">
        <w:rPr>
          <w:rFonts w:ascii="Cambria" w:hAnsi="Cambria"/>
          <w:sz w:val="24"/>
          <w:szCs w:val="24"/>
        </w:rPr>
        <w:t xml:space="preserve"> </w:t>
      </w:r>
      <w:r w:rsidRPr="00CD2F5C">
        <w:rPr>
          <w:rFonts w:ascii="Cambria" w:hAnsi="Cambria"/>
          <w:b/>
          <w:sz w:val="24"/>
          <w:szCs w:val="24"/>
        </w:rPr>
        <w:t>98</w:t>
      </w:r>
      <w:r w:rsidRPr="00CD2F5C">
        <w:rPr>
          <w:rFonts w:ascii="Cambria" w:hAnsi="Cambria"/>
          <w:sz w:val="24"/>
          <w:szCs w:val="24"/>
        </w:rPr>
        <w:t xml:space="preserve">, 378–387. </w:t>
      </w:r>
      <w:hyperlink r:id="rId92" w:history="1">
        <w:r w:rsidRPr="00CD2F5C">
          <w:rPr>
            <w:rStyle w:val="Hyperlink"/>
            <w:rFonts w:ascii="Cambria" w:hAnsi="Cambria"/>
            <w:sz w:val="24"/>
            <w:szCs w:val="24"/>
          </w:rPr>
          <w:t xml:space="preserve">https:// </w:t>
        </w:r>
        <w:proofErr w:type="spellStart"/>
        <w:r w:rsidRPr="00CD2F5C">
          <w:rPr>
            <w:rStyle w:val="Hyperlink"/>
            <w:rFonts w:ascii="Cambria" w:hAnsi="Cambria"/>
            <w:sz w:val="24"/>
            <w:szCs w:val="24"/>
          </w:rPr>
          <w:t>doi</w:t>
        </w:r>
        <w:proofErr w:type="spellEnd"/>
        <w:r w:rsidRPr="00CD2F5C">
          <w:rPr>
            <w:rStyle w:val="Hyperlink"/>
            <w:rFonts w:ascii="Cambria" w:hAnsi="Cambria"/>
            <w:sz w:val="24"/>
            <w:szCs w:val="24"/>
          </w:rPr>
          <w:t xml:space="preserve">. org/ 10. 1016/j. </w:t>
        </w:r>
        <w:proofErr w:type="spellStart"/>
        <w:r w:rsidRPr="00CD2F5C">
          <w:rPr>
            <w:rStyle w:val="Hyperlink"/>
            <w:rFonts w:ascii="Cambria" w:hAnsi="Cambria"/>
            <w:sz w:val="24"/>
            <w:szCs w:val="24"/>
          </w:rPr>
          <w:t>bbi</w:t>
        </w:r>
        <w:proofErr w:type="spellEnd"/>
        <w:r w:rsidRPr="00CD2F5C">
          <w:rPr>
            <w:rStyle w:val="Hyperlink"/>
            <w:rFonts w:ascii="Cambria" w:hAnsi="Cambria"/>
            <w:sz w:val="24"/>
            <w:szCs w:val="24"/>
          </w:rPr>
          <w:t>. 2021. 09. 001</w:t>
        </w:r>
      </w:hyperlink>
      <w:r w:rsidRPr="00CD2F5C">
        <w:rPr>
          <w:rFonts w:ascii="Cambria" w:hAnsi="Cambria"/>
          <w:sz w:val="24"/>
          <w:szCs w:val="24"/>
        </w:rPr>
        <w:t xml:space="preserve"> (2021).</w:t>
      </w:r>
    </w:p>
    <w:p w14:paraId="44B966E5" w14:textId="77777777" w:rsidR="009832C0" w:rsidRPr="00CD2F5C" w:rsidRDefault="009832C0" w:rsidP="00684AAB">
      <w:pPr>
        <w:spacing w:line="360" w:lineRule="auto"/>
        <w:ind w:left="360"/>
        <w:rPr>
          <w:rFonts w:ascii="Cambria" w:hAnsi="Cambria"/>
          <w:sz w:val="24"/>
          <w:szCs w:val="24"/>
        </w:rPr>
      </w:pPr>
      <w:r w:rsidRPr="00CD2F5C">
        <w:rPr>
          <w:rFonts w:ascii="Cambria" w:hAnsi="Cambria"/>
          <w:sz w:val="24"/>
          <w:szCs w:val="24"/>
        </w:rPr>
        <w:t xml:space="preserve">Long, J. S. </w:t>
      </w:r>
      <w:r w:rsidRPr="00CD2F5C">
        <w:rPr>
          <w:rFonts w:ascii="Cambria" w:hAnsi="Cambria"/>
          <w:i/>
          <w:sz w:val="24"/>
          <w:szCs w:val="24"/>
        </w:rPr>
        <w:t>Scott. Regression Models for Categorical and Limited Dependent Variables</w:t>
      </w:r>
      <w:r w:rsidRPr="00CD2F5C">
        <w:rPr>
          <w:rFonts w:ascii="Cambria" w:hAnsi="Cambria"/>
          <w:sz w:val="24"/>
          <w:szCs w:val="24"/>
        </w:rPr>
        <w:t xml:space="preserve"> (Sage Publications, 1997).</w:t>
      </w:r>
    </w:p>
    <w:p w14:paraId="17AD415A" w14:textId="77777777" w:rsidR="009832C0" w:rsidRPr="00CD2F5C" w:rsidRDefault="009832C0" w:rsidP="002B0F75">
      <w:pPr>
        <w:spacing w:line="360" w:lineRule="auto"/>
        <w:rPr>
          <w:rFonts w:ascii="Cambria" w:hAnsi="Cambria"/>
          <w:sz w:val="24"/>
          <w:szCs w:val="24"/>
        </w:rPr>
      </w:pPr>
      <w:r w:rsidRPr="00CD2F5C">
        <w:rPr>
          <w:rFonts w:ascii="Cambria" w:hAnsi="Cambria"/>
          <w:sz w:val="24"/>
          <w:szCs w:val="24"/>
        </w:rPr>
        <w:br w:type="page"/>
      </w:r>
    </w:p>
    <w:p w14:paraId="7C80AA1B" w14:textId="77777777" w:rsidR="009832C0" w:rsidRPr="00CD2F5C" w:rsidRDefault="009832C0" w:rsidP="002B0F75">
      <w:pPr>
        <w:pStyle w:val="Heading1"/>
        <w:spacing w:line="360" w:lineRule="auto"/>
      </w:pPr>
      <w:bookmarkStart w:id="68" w:name="_Toc181362882"/>
      <w:r w:rsidRPr="00CD2F5C">
        <w:lastRenderedPageBreak/>
        <w:t>Chapter 4: US-based Registered Report—An Analysis on the Impact of Childhood Adversity, Anxiety, and C-reactive Protein on Adult Chronic Pain in the Midlife in the United States (MIDUS) study</w:t>
      </w:r>
      <w:bookmarkEnd w:id="68"/>
    </w:p>
    <w:p w14:paraId="55FA6E4D" w14:textId="20BA48E3" w:rsidR="179D8B01" w:rsidRDefault="00F13D34" w:rsidP="002B0F75">
      <w:pPr>
        <w:spacing w:line="360" w:lineRule="auto"/>
        <w:rPr>
          <w:rFonts w:ascii="Cambria" w:hAnsi="Cambria"/>
          <w:sz w:val="24"/>
          <w:szCs w:val="24"/>
        </w:rPr>
      </w:pPr>
      <w:r w:rsidRPr="5F4A1D07">
        <w:rPr>
          <w:rFonts w:ascii="Cambria" w:hAnsi="Cambria"/>
          <w:sz w:val="24"/>
          <w:szCs w:val="24"/>
        </w:rPr>
        <w:t xml:space="preserve">As the final </w:t>
      </w:r>
      <w:r w:rsidR="0F0B0C87" w:rsidRPr="13B33B62">
        <w:rPr>
          <w:rFonts w:ascii="Cambria" w:hAnsi="Cambria"/>
          <w:sz w:val="24"/>
          <w:szCs w:val="24"/>
        </w:rPr>
        <w:t xml:space="preserve">part </w:t>
      </w:r>
      <w:r w:rsidRPr="5F4A1D07">
        <w:rPr>
          <w:rFonts w:ascii="Cambria" w:hAnsi="Cambria"/>
          <w:sz w:val="24"/>
          <w:szCs w:val="24"/>
        </w:rPr>
        <w:t>of this thesis, this study used the Midlife-Development in the United States (MIDUS) dataset to further examine relationships between reported childhood-adversity, anxiety, CRP and chronic pain, as well as how these were associated with pain medication usage in US adults. This final study explored the additional factor of pain medication usage and included multiple socio-demographic variables</w:t>
      </w:r>
      <w:r w:rsidR="530C7554" w:rsidRPr="13B33B62">
        <w:rPr>
          <w:rFonts w:ascii="Cambria" w:hAnsi="Cambria"/>
          <w:sz w:val="24"/>
          <w:szCs w:val="24"/>
        </w:rPr>
        <w:t xml:space="preserve">, </w:t>
      </w:r>
      <w:r w:rsidR="005F2B59">
        <w:rPr>
          <w:rFonts w:ascii="Cambria" w:hAnsi="Cambria"/>
          <w:sz w:val="24"/>
          <w:szCs w:val="24"/>
        </w:rPr>
        <w:t xml:space="preserve">which </w:t>
      </w:r>
      <w:r w:rsidR="530C7554" w:rsidRPr="13B33B62">
        <w:rPr>
          <w:rFonts w:ascii="Cambria" w:hAnsi="Cambria"/>
          <w:sz w:val="24"/>
          <w:szCs w:val="24"/>
        </w:rPr>
        <w:t>thereby</w:t>
      </w:r>
      <w:r w:rsidR="001B256E">
        <w:rPr>
          <w:rFonts w:ascii="Cambria" w:hAnsi="Cambria"/>
          <w:sz w:val="24"/>
          <w:szCs w:val="24"/>
        </w:rPr>
        <w:t xml:space="preserve"> </w:t>
      </w:r>
      <w:r w:rsidRPr="5F4A1D07">
        <w:rPr>
          <w:rFonts w:ascii="Cambria" w:hAnsi="Cambria"/>
          <w:sz w:val="24"/>
          <w:szCs w:val="24"/>
        </w:rPr>
        <w:t>address</w:t>
      </w:r>
      <w:r w:rsidRPr="5F4A1D07" w:rsidDel="00F13D34">
        <w:rPr>
          <w:rFonts w:ascii="Cambria" w:hAnsi="Cambria"/>
          <w:sz w:val="24"/>
          <w:szCs w:val="24"/>
        </w:rPr>
        <w:t>ed</w:t>
      </w:r>
      <w:r w:rsidRPr="5F4A1D07">
        <w:rPr>
          <w:rFonts w:ascii="Cambria" w:hAnsi="Cambria"/>
          <w:sz w:val="24"/>
          <w:szCs w:val="24"/>
        </w:rPr>
        <w:t xml:space="preserve"> some of the limitations identified in the UK-based analysis described previously in Chapter 3 (e.g., a lack of </w:t>
      </w:r>
      <w:r w:rsidR="001A5683" w:rsidRPr="5F4A1D07">
        <w:rPr>
          <w:rFonts w:ascii="Cambria" w:hAnsi="Cambria"/>
          <w:sz w:val="24"/>
          <w:szCs w:val="24"/>
        </w:rPr>
        <w:t>scope to consider multiple socio</w:t>
      </w:r>
      <w:r w:rsidR="78F01A74" w:rsidRPr="5F4A1D07">
        <w:rPr>
          <w:rFonts w:ascii="Cambria" w:hAnsi="Cambria"/>
          <w:sz w:val="24"/>
          <w:szCs w:val="24"/>
        </w:rPr>
        <w:t>-</w:t>
      </w:r>
      <w:r w:rsidR="009E7B39">
        <w:rPr>
          <w:rFonts w:ascii="Cambria" w:hAnsi="Cambria"/>
          <w:sz w:val="24"/>
          <w:szCs w:val="24"/>
        </w:rPr>
        <w:t>demographic</w:t>
      </w:r>
      <w:r w:rsidR="009E7B39" w:rsidRPr="5F4A1D07">
        <w:rPr>
          <w:rFonts w:ascii="Cambria" w:hAnsi="Cambria"/>
          <w:sz w:val="24"/>
          <w:szCs w:val="24"/>
        </w:rPr>
        <w:t xml:space="preserve"> </w:t>
      </w:r>
      <w:r w:rsidR="001A5683" w:rsidRPr="5F4A1D07">
        <w:rPr>
          <w:rFonts w:ascii="Cambria" w:hAnsi="Cambria"/>
          <w:sz w:val="24"/>
          <w:szCs w:val="24"/>
        </w:rPr>
        <w:t>status-related variables</w:t>
      </w:r>
      <w:r w:rsidRPr="5F4A1D07">
        <w:rPr>
          <w:rFonts w:ascii="Cambria" w:hAnsi="Cambria"/>
          <w:sz w:val="24"/>
          <w:szCs w:val="24"/>
        </w:rPr>
        <w:t>) and provid</w:t>
      </w:r>
      <w:r w:rsidRPr="5F4A1D07" w:rsidDel="00F13D34">
        <w:rPr>
          <w:rFonts w:ascii="Cambria" w:hAnsi="Cambria"/>
          <w:sz w:val="24"/>
          <w:szCs w:val="24"/>
        </w:rPr>
        <w:t xml:space="preserve">ed </w:t>
      </w:r>
      <w:r w:rsidRPr="5F4A1D07">
        <w:rPr>
          <w:rFonts w:ascii="Cambria" w:hAnsi="Cambria"/>
          <w:sz w:val="24"/>
          <w:szCs w:val="24"/>
        </w:rPr>
        <w:t xml:space="preserve">a comparative analysis </w:t>
      </w:r>
      <w:r w:rsidR="5745F830" w:rsidRPr="13B33B62">
        <w:rPr>
          <w:rFonts w:ascii="Cambria" w:hAnsi="Cambria"/>
          <w:sz w:val="24"/>
          <w:szCs w:val="24"/>
        </w:rPr>
        <w:t xml:space="preserve">for the findings of Chapter 3 </w:t>
      </w:r>
      <w:r w:rsidRPr="5F4A1D07">
        <w:rPr>
          <w:rFonts w:ascii="Cambria" w:hAnsi="Cambria"/>
          <w:sz w:val="24"/>
          <w:szCs w:val="24"/>
        </w:rPr>
        <w:t>in a different US-based sample. Structural equational-</w:t>
      </w:r>
      <w:r w:rsidR="001A5683" w:rsidRPr="5F4A1D07">
        <w:rPr>
          <w:rFonts w:ascii="Cambria" w:hAnsi="Cambria"/>
          <w:sz w:val="24"/>
          <w:szCs w:val="24"/>
        </w:rPr>
        <w:t>modelling</w:t>
      </w:r>
      <w:r w:rsidRPr="5F4A1D07">
        <w:rPr>
          <w:rFonts w:ascii="Cambria" w:hAnsi="Cambria"/>
          <w:sz w:val="24"/>
          <w:szCs w:val="24"/>
        </w:rPr>
        <w:t xml:space="preserve"> and general linear-</w:t>
      </w:r>
      <w:r w:rsidR="001A5683" w:rsidRPr="5F4A1D07">
        <w:rPr>
          <w:rFonts w:ascii="Cambria" w:hAnsi="Cambria"/>
          <w:sz w:val="24"/>
          <w:szCs w:val="24"/>
        </w:rPr>
        <w:t>modelling</w:t>
      </w:r>
      <w:r w:rsidRPr="5F4A1D07">
        <w:rPr>
          <w:rFonts w:ascii="Cambria" w:hAnsi="Cambria"/>
          <w:sz w:val="24"/>
          <w:szCs w:val="24"/>
        </w:rPr>
        <w:t xml:space="preserve"> regression were conducted independently by the author of this thesis with supervision from PhD supervisors (AW, LC, and GM), and all supervisors guided in directions for re-analysis and write-up/review of the publication.</w:t>
      </w:r>
      <w:r w:rsidR="179D8B01" w:rsidRPr="5F4A1D07">
        <w:rPr>
          <w:rFonts w:ascii="Cambria" w:hAnsi="Cambria"/>
          <w:sz w:val="24"/>
          <w:szCs w:val="24"/>
        </w:rPr>
        <w:t xml:space="preserve"> </w:t>
      </w:r>
      <w:r w:rsidR="506AA45A" w:rsidRPr="5F4A1D07">
        <w:rPr>
          <w:rFonts w:ascii="Cambria" w:hAnsi="Cambria"/>
          <w:sz w:val="24"/>
          <w:szCs w:val="24"/>
        </w:rPr>
        <w:t>The introduction and methods of this chapter have been</w:t>
      </w:r>
      <w:r w:rsidR="0D59F44D" w:rsidRPr="5F4A1D07">
        <w:rPr>
          <w:rFonts w:ascii="Cambria" w:hAnsi="Cambria"/>
          <w:sz w:val="24"/>
          <w:szCs w:val="24"/>
        </w:rPr>
        <w:t xml:space="preserve"> accepted in principle as a Registered Report by </w:t>
      </w:r>
      <w:r w:rsidR="0D59F44D" w:rsidRPr="13B33B62">
        <w:rPr>
          <w:rFonts w:ascii="Cambria" w:hAnsi="Cambria"/>
          <w:i/>
          <w:iCs/>
          <w:sz w:val="24"/>
          <w:szCs w:val="24"/>
        </w:rPr>
        <w:t>Psychosomatic Medicine,</w:t>
      </w:r>
      <w:r w:rsidR="0D59F44D" w:rsidRPr="5F4A1D07">
        <w:rPr>
          <w:rFonts w:ascii="Cambria" w:hAnsi="Cambria"/>
          <w:sz w:val="24"/>
          <w:szCs w:val="24"/>
        </w:rPr>
        <w:t xml:space="preserve"> and</w:t>
      </w:r>
      <w:r w:rsidR="506AA45A" w:rsidRPr="5F4A1D07">
        <w:rPr>
          <w:rFonts w:ascii="Cambria" w:hAnsi="Cambria"/>
          <w:sz w:val="24"/>
          <w:szCs w:val="24"/>
        </w:rPr>
        <w:t xml:space="preserve"> published as a Registered Report Protocol in </w:t>
      </w:r>
      <w:r w:rsidR="133FA4A5" w:rsidRPr="5F4A1D07">
        <w:rPr>
          <w:rFonts w:ascii="Cambria" w:hAnsi="Cambria"/>
          <w:sz w:val="24"/>
          <w:szCs w:val="24"/>
        </w:rPr>
        <w:t>the Open Science Framework Registry</w:t>
      </w:r>
      <w:r w:rsidR="506AA45A" w:rsidRPr="5F4A1D07">
        <w:rPr>
          <w:rFonts w:ascii="Cambria" w:hAnsi="Cambria"/>
          <w:sz w:val="24"/>
          <w:szCs w:val="24"/>
        </w:rPr>
        <w:t xml:space="preserve">: </w:t>
      </w:r>
      <w:r w:rsidR="0F0B0C87" w:rsidRPr="13B33B62">
        <w:rPr>
          <w:rFonts w:ascii="Calibri" w:eastAsia="Calibri" w:hAnsi="Calibri" w:cs="Calibri"/>
          <w:sz w:val="24"/>
          <w:szCs w:val="24"/>
          <w:lang w:val="en-US"/>
        </w:rPr>
        <w:t>https://doi.org/10.17605/OSF.IO/3BKYC</w:t>
      </w:r>
      <w:r w:rsidR="506AA45A" w:rsidRPr="5F4A1D07">
        <w:rPr>
          <w:rFonts w:ascii="Calibri" w:eastAsia="Calibri" w:hAnsi="Calibri" w:cs="Calibri"/>
          <w:sz w:val="24"/>
          <w:szCs w:val="24"/>
          <w:lang w:val="en-US"/>
        </w:rPr>
        <w:t xml:space="preserve">. </w:t>
      </w:r>
      <w:r w:rsidR="4AE4CEC0" w:rsidRPr="5F4A1D07">
        <w:rPr>
          <w:rFonts w:ascii="Cambria" w:hAnsi="Cambria"/>
          <w:sz w:val="24"/>
          <w:szCs w:val="24"/>
        </w:rPr>
        <w:t xml:space="preserve">The </w:t>
      </w:r>
      <w:r w:rsidR="506AA45A" w:rsidRPr="5F4A1D07">
        <w:rPr>
          <w:rFonts w:ascii="Cambria" w:hAnsi="Cambria"/>
          <w:sz w:val="24"/>
          <w:szCs w:val="24"/>
        </w:rPr>
        <w:t>full article has</w:t>
      </w:r>
      <w:r w:rsidR="0DE9E99C" w:rsidRPr="5F4A1D07">
        <w:rPr>
          <w:rFonts w:ascii="Cambria" w:hAnsi="Cambria"/>
          <w:sz w:val="24"/>
          <w:szCs w:val="24"/>
        </w:rPr>
        <w:t xml:space="preserve"> </w:t>
      </w:r>
      <w:r w:rsidR="18CA3FD0" w:rsidRPr="5F4A1D07">
        <w:rPr>
          <w:rFonts w:ascii="Cambria" w:hAnsi="Cambria"/>
          <w:sz w:val="24"/>
          <w:szCs w:val="24"/>
        </w:rPr>
        <w:t xml:space="preserve">now </w:t>
      </w:r>
      <w:r w:rsidR="0DE9E99C" w:rsidRPr="5F4A1D07">
        <w:rPr>
          <w:rFonts w:ascii="Cambria" w:hAnsi="Cambria"/>
          <w:sz w:val="24"/>
          <w:szCs w:val="24"/>
        </w:rPr>
        <w:t>been submitted for publication and is currently under review</w:t>
      </w:r>
      <w:r w:rsidR="33A93196" w:rsidRPr="5F4A1D07">
        <w:rPr>
          <w:rFonts w:ascii="Cambria" w:hAnsi="Cambria"/>
          <w:sz w:val="24"/>
          <w:szCs w:val="24"/>
        </w:rPr>
        <w:t xml:space="preserve"> with </w:t>
      </w:r>
      <w:r w:rsidR="33A93196" w:rsidRPr="13B33B62">
        <w:rPr>
          <w:rFonts w:ascii="Cambria" w:hAnsi="Cambria"/>
          <w:i/>
          <w:iCs/>
          <w:sz w:val="24"/>
          <w:szCs w:val="24"/>
        </w:rPr>
        <w:t>Psychosomatic Medicine</w:t>
      </w:r>
      <w:r w:rsidR="0DE9E99C" w:rsidRPr="13B33B62">
        <w:rPr>
          <w:rFonts w:ascii="Cambria" w:hAnsi="Cambria"/>
          <w:sz w:val="24"/>
          <w:szCs w:val="24"/>
        </w:rPr>
        <w:t>:</w:t>
      </w:r>
    </w:p>
    <w:p w14:paraId="2AA176C4" w14:textId="037FAB30" w:rsidR="0DE9E99C" w:rsidRPr="007C3AC5" w:rsidRDefault="522A735E" w:rsidP="002B0F75">
      <w:pPr>
        <w:spacing w:line="360" w:lineRule="auto"/>
        <w:rPr>
          <w:rFonts w:ascii="Cambria" w:eastAsia="Calibri" w:hAnsi="Cambria" w:cs="Calibri"/>
          <w:i/>
          <w:iCs/>
          <w:color w:val="000000" w:themeColor="text1"/>
          <w:sz w:val="24"/>
          <w:szCs w:val="24"/>
          <w:lang w:val="en-US"/>
        </w:rPr>
      </w:pPr>
      <w:r w:rsidRPr="007C3AC5">
        <w:rPr>
          <w:rFonts w:ascii="Cambria" w:eastAsia="Calibri" w:hAnsi="Cambria" w:cs="Calibri"/>
          <w:color w:val="000000" w:themeColor="text1"/>
          <w:sz w:val="24"/>
          <w:szCs w:val="24"/>
          <w:lang w:val="en-US"/>
        </w:rPr>
        <w:t xml:space="preserve">Dalechek, D., </w:t>
      </w:r>
      <w:proofErr w:type="spellStart"/>
      <w:r w:rsidRPr="007C3AC5">
        <w:rPr>
          <w:rFonts w:ascii="Cambria" w:eastAsia="Calibri" w:hAnsi="Cambria" w:cs="Calibri"/>
          <w:color w:val="000000" w:themeColor="text1"/>
          <w:sz w:val="24"/>
          <w:szCs w:val="24"/>
          <w:lang w:val="en-US"/>
        </w:rPr>
        <w:t>Caes</w:t>
      </w:r>
      <w:proofErr w:type="spellEnd"/>
      <w:r w:rsidRPr="007C3AC5">
        <w:rPr>
          <w:rFonts w:ascii="Cambria" w:eastAsia="Calibri" w:hAnsi="Cambria" w:cs="Calibri"/>
          <w:color w:val="000000" w:themeColor="text1"/>
          <w:sz w:val="24"/>
          <w:szCs w:val="24"/>
          <w:lang w:val="en-US"/>
        </w:rPr>
        <w:t>, L., McIntosh, G., &amp; Whittaker, A.C. Stage 1 Registered Report: An Analysis on the Impact of Adverse Childhood Experiences, Anxiety, and C-reactive Protein on Adult Chronic Pain in the Midlife in the United States (MIDUS) study.</w:t>
      </w:r>
      <w:r w:rsidR="7D72C6FD" w:rsidRPr="007C3AC5">
        <w:rPr>
          <w:rFonts w:ascii="Cambria" w:eastAsia="Calibri" w:hAnsi="Cambria" w:cs="Calibri"/>
          <w:color w:val="000000" w:themeColor="text1"/>
          <w:sz w:val="24"/>
          <w:szCs w:val="24"/>
          <w:lang w:val="en-US"/>
        </w:rPr>
        <w:t xml:space="preserve"> </w:t>
      </w:r>
      <w:r w:rsidR="7D72C6FD" w:rsidRPr="007C3AC5">
        <w:rPr>
          <w:rFonts w:ascii="Cambria" w:eastAsia="Calibri" w:hAnsi="Cambria" w:cs="Calibri"/>
          <w:i/>
          <w:iCs/>
          <w:color w:val="000000" w:themeColor="text1"/>
          <w:sz w:val="24"/>
          <w:szCs w:val="24"/>
          <w:lang w:val="en-US"/>
        </w:rPr>
        <w:t>Psychosomatic Medicine, under review</w:t>
      </w:r>
      <w:r w:rsidR="00225BEB">
        <w:rPr>
          <w:rFonts w:ascii="Cambria" w:eastAsia="Calibri" w:hAnsi="Cambria" w:cs="Calibri"/>
          <w:i/>
          <w:iCs/>
          <w:color w:val="000000" w:themeColor="text1"/>
          <w:sz w:val="24"/>
          <w:szCs w:val="24"/>
          <w:lang w:val="en-US"/>
        </w:rPr>
        <w:t>.</w:t>
      </w:r>
    </w:p>
    <w:p w14:paraId="105DF801" w14:textId="33EF6F93" w:rsidR="6E2346AC" w:rsidRDefault="6E2346AC" w:rsidP="002B0F75">
      <w:pPr>
        <w:spacing w:line="360" w:lineRule="auto"/>
        <w:rPr>
          <w:rFonts w:ascii="Cambria" w:hAnsi="Cambria"/>
          <w:sz w:val="24"/>
          <w:szCs w:val="24"/>
        </w:rPr>
      </w:pPr>
    </w:p>
    <w:p w14:paraId="58AEAAB3" w14:textId="616EEE67" w:rsidR="389750E8" w:rsidRDefault="001A5683" w:rsidP="002B0F75">
      <w:pPr>
        <w:spacing w:line="360" w:lineRule="auto"/>
        <w:rPr>
          <w:rFonts w:ascii="Cambria" w:hAnsi="Cambria"/>
          <w:sz w:val="24"/>
          <w:szCs w:val="24"/>
        </w:rPr>
      </w:pPr>
      <w:r>
        <w:rPr>
          <w:rFonts w:ascii="Cambria" w:hAnsi="Cambria"/>
          <w:sz w:val="24"/>
          <w:szCs w:val="24"/>
        </w:rPr>
        <w:t xml:space="preserve">Note: </w:t>
      </w:r>
      <w:r w:rsidR="389750E8" w:rsidRPr="1E06730D">
        <w:rPr>
          <w:rFonts w:ascii="Cambria" w:hAnsi="Cambria"/>
          <w:sz w:val="24"/>
          <w:szCs w:val="24"/>
        </w:rPr>
        <w:t xml:space="preserve">It is important to </w:t>
      </w:r>
      <w:r>
        <w:rPr>
          <w:rFonts w:ascii="Cambria" w:hAnsi="Cambria"/>
          <w:sz w:val="24"/>
          <w:szCs w:val="24"/>
        </w:rPr>
        <w:t>mention</w:t>
      </w:r>
      <w:r w:rsidR="389750E8" w:rsidRPr="1E06730D">
        <w:rPr>
          <w:rFonts w:ascii="Cambria" w:hAnsi="Cambria"/>
          <w:sz w:val="24"/>
          <w:szCs w:val="24"/>
        </w:rPr>
        <w:t xml:space="preserve"> that based on the </w:t>
      </w:r>
      <w:r w:rsidR="6FC47592" w:rsidRPr="1E06730D">
        <w:rPr>
          <w:rFonts w:ascii="Cambria" w:hAnsi="Cambria"/>
          <w:sz w:val="24"/>
          <w:szCs w:val="24"/>
        </w:rPr>
        <w:t>reviewers'</w:t>
      </w:r>
      <w:r w:rsidR="389750E8" w:rsidRPr="1E06730D">
        <w:rPr>
          <w:rFonts w:ascii="Cambria" w:hAnsi="Cambria"/>
          <w:sz w:val="24"/>
          <w:szCs w:val="24"/>
        </w:rPr>
        <w:t xml:space="preserve"> comments for the </w:t>
      </w:r>
      <w:r>
        <w:rPr>
          <w:rFonts w:ascii="Cambria" w:hAnsi="Cambria"/>
          <w:sz w:val="24"/>
          <w:szCs w:val="24"/>
        </w:rPr>
        <w:t xml:space="preserve">accepted </w:t>
      </w:r>
      <w:r w:rsidR="389750E8" w:rsidRPr="1E06730D">
        <w:rPr>
          <w:rFonts w:ascii="Cambria" w:hAnsi="Cambria"/>
          <w:sz w:val="24"/>
          <w:szCs w:val="24"/>
        </w:rPr>
        <w:t xml:space="preserve">Registered Report Protocol, the term childhood adversity is used instead of adverse childhood experiences or ACEs (as in the other </w:t>
      </w:r>
      <w:r w:rsidR="79650E6B" w:rsidRPr="1E06730D">
        <w:rPr>
          <w:rFonts w:ascii="Cambria" w:hAnsi="Cambria"/>
          <w:sz w:val="24"/>
          <w:szCs w:val="24"/>
        </w:rPr>
        <w:t xml:space="preserve">chapters of this thesis), as reviewers felt this term more accurately reflected the data </w:t>
      </w:r>
      <w:r>
        <w:rPr>
          <w:rFonts w:ascii="Cambria" w:hAnsi="Cambria"/>
          <w:sz w:val="24"/>
          <w:szCs w:val="24"/>
        </w:rPr>
        <w:t xml:space="preserve">specifically </w:t>
      </w:r>
      <w:r w:rsidR="79650E6B" w:rsidRPr="1E06730D">
        <w:rPr>
          <w:rFonts w:ascii="Cambria" w:hAnsi="Cambria"/>
          <w:sz w:val="24"/>
          <w:szCs w:val="24"/>
        </w:rPr>
        <w:t>available in MIDUS.</w:t>
      </w:r>
    </w:p>
    <w:p w14:paraId="60211FF8" w14:textId="77777777" w:rsidR="002D1216" w:rsidRPr="00CD2F5C" w:rsidRDefault="002D1216" w:rsidP="002B0F75">
      <w:pPr>
        <w:spacing w:line="360" w:lineRule="auto"/>
        <w:rPr>
          <w:rFonts w:ascii="Cambria" w:hAnsi="Cambria" w:cstheme="minorHAnsi"/>
          <w:b/>
          <w:bCs/>
          <w:sz w:val="24"/>
          <w:szCs w:val="24"/>
        </w:rPr>
      </w:pPr>
    </w:p>
    <w:p w14:paraId="252A0347" w14:textId="552ED688" w:rsidR="6E2346AC" w:rsidRDefault="6E2346AC" w:rsidP="002B0F75">
      <w:pPr>
        <w:spacing w:line="360" w:lineRule="auto"/>
      </w:pPr>
      <w:r>
        <w:br w:type="page"/>
      </w:r>
    </w:p>
    <w:p w14:paraId="0B210B31" w14:textId="6E3E1E66" w:rsidR="009832C0" w:rsidRPr="00CD2F5C" w:rsidRDefault="009832C0" w:rsidP="002B0F75">
      <w:pPr>
        <w:spacing w:line="360" w:lineRule="auto"/>
        <w:rPr>
          <w:rFonts w:ascii="Cambria" w:hAnsi="Cambria"/>
          <w:sz w:val="24"/>
          <w:szCs w:val="24"/>
        </w:rPr>
      </w:pPr>
      <w:r w:rsidRPr="00CD2F5C">
        <w:rPr>
          <w:rFonts w:ascii="Cambria" w:hAnsi="Cambria" w:cstheme="minorHAnsi"/>
          <w:b/>
          <w:bCs/>
          <w:sz w:val="24"/>
          <w:szCs w:val="24"/>
        </w:rPr>
        <w:lastRenderedPageBreak/>
        <w:t>Abstract</w:t>
      </w:r>
    </w:p>
    <w:p w14:paraId="31926A5C" w14:textId="09DC4DD0" w:rsidR="002D1216" w:rsidRPr="00CD2F5C" w:rsidRDefault="002D1216" w:rsidP="002B0F75">
      <w:pPr>
        <w:spacing w:after="0" w:line="360" w:lineRule="auto"/>
        <w:rPr>
          <w:rFonts w:ascii="Cambria" w:eastAsia="Calibri" w:hAnsi="Cambria" w:cs="Calibri"/>
          <w:color w:val="000000"/>
          <w:sz w:val="24"/>
          <w:szCs w:val="24"/>
        </w:rPr>
      </w:pPr>
      <w:r w:rsidRPr="00CD2F5C">
        <w:rPr>
          <w:rFonts w:ascii="Cambria" w:eastAsia="Calibri" w:hAnsi="Cambria" w:cs="Calibri"/>
          <w:b/>
          <w:bCs/>
          <w:color w:val="000000"/>
          <w:sz w:val="24"/>
          <w:szCs w:val="24"/>
        </w:rPr>
        <w:t>Objectives</w:t>
      </w:r>
      <w:r w:rsidRPr="00CD2F5C">
        <w:rPr>
          <w:rFonts w:ascii="Cambria" w:eastAsia="Calibri" w:hAnsi="Cambria" w:cs="Calibri"/>
          <w:color w:val="000000"/>
          <w:sz w:val="24"/>
          <w:szCs w:val="24"/>
        </w:rPr>
        <w:t xml:space="preserve">: </w:t>
      </w:r>
      <w:bookmarkStart w:id="69" w:name="_Hlk143349232"/>
      <w:r w:rsidRPr="00CD2F5C">
        <w:rPr>
          <w:rFonts w:ascii="Cambria" w:eastAsia="Calibri" w:hAnsi="Cambria" w:cs="Calibri"/>
          <w:color w:val="000000"/>
          <w:sz w:val="24"/>
          <w:szCs w:val="24"/>
        </w:rPr>
        <w:t>This study used the Midlife-Development in the United States (MIDUS) dataset to: 1) examine relationships between reported childhood-adversity (CA), anxiety, and pain; 2) assess associations between CAs, anxiety, C-reactive protein (CRP) levels, and pain; and 3) explore how CAs, anxiety, and CRP are associated with pain medication consumption.</w:t>
      </w:r>
    </w:p>
    <w:bookmarkEnd w:id="69"/>
    <w:p w14:paraId="5907270F" w14:textId="5219C200"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Methods</w:t>
      </w:r>
      <w:r w:rsidRPr="002D1216">
        <w:rPr>
          <w:rFonts w:ascii="Cambria" w:eastAsia="Calibri" w:hAnsi="Cambria" w:cs="Calibri"/>
          <w:color w:val="000000"/>
          <w:sz w:val="24"/>
          <w:szCs w:val="24"/>
        </w:rPr>
        <w:t xml:space="preserve">: For </w:t>
      </w:r>
      <w:bookmarkStart w:id="70" w:name="_Hlk167899835"/>
      <w:r w:rsidRPr="002D1216">
        <w:rPr>
          <w:rFonts w:ascii="Cambria" w:eastAsia="Calibri" w:hAnsi="Cambria" w:cs="Calibri"/>
          <w:color w:val="000000"/>
          <w:sz w:val="24"/>
          <w:szCs w:val="24"/>
        </w:rPr>
        <w:t>objectives 1–2</w:t>
      </w:r>
      <w:bookmarkEnd w:id="70"/>
      <w:r w:rsidRPr="002D1216">
        <w:rPr>
          <w:rFonts w:ascii="Cambria" w:eastAsia="Calibri" w:hAnsi="Cambria" w:cs="Calibri"/>
          <w:color w:val="000000"/>
          <w:sz w:val="24"/>
          <w:szCs w:val="24"/>
        </w:rPr>
        <w:t>, structural equational-</w:t>
      </w:r>
      <w:r w:rsidR="00160CA2"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(SEM) followed by general linear-</w:t>
      </w:r>
      <w:r w:rsidR="00160CA2"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(GLM) regression were conducted. For objective 3, all variables from the objectives 1–2 dataset were used as possible independent variables for the exploratory regression.</w:t>
      </w:r>
    </w:p>
    <w:p w14:paraId="027249E9" w14:textId="77BCDD4D" w:rsidR="002D1216" w:rsidRPr="002D1216" w:rsidRDefault="179D8B01" w:rsidP="002B0F75">
      <w:pPr>
        <w:spacing w:after="0" w:line="360" w:lineRule="auto"/>
        <w:rPr>
          <w:rFonts w:ascii="Cambria" w:eastAsia="Calibri" w:hAnsi="Cambria" w:cs="Calibri"/>
          <w:color w:val="000000"/>
          <w:sz w:val="24"/>
          <w:szCs w:val="24"/>
        </w:rPr>
      </w:pPr>
      <w:r w:rsidRPr="1E06730D">
        <w:rPr>
          <w:rFonts w:ascii="Cambria" w:eastAsia="Calibri" w:hAnsi="Cambria" w:cs="Calibri"/>
          <w:b/>
          <w:bCs/>
          <w:color w:val="000000" w:themeColor="text1"/>
          <w:sz w:val="24"/>
          <w:szCs w:val="24"/>
        </w:rPr>
        <w:t>Results:</w:t>
      </w:r>
      <w:r w:rsidRPr="1E06730D">
        <w:rPr>
          <w:rFonts w:ascii="Cambria" w:eastAsia="Calibri" w:hAnsi="Cambria" w:cs="Calibri"/>
          <w:color w:val="000000" w:themeColor="text1"/>
          <w:sz w:val="24"/>
          <w:szCs w:val="24"/>
        </w:rPr>
        <w:t xml:space="preserve"> The SEM indicated CAs, anxiety, and CRP all played a role in predicting chronic pain. For objectives 1–2, CRP was significantly correlated with anxiety, emotional-abuse, physical-neglect, and chronic pain (n=1255). </w:t>
      </w:r>
      <w:bookmarkStart w:id="71" w:name="_Hlk168052412"/>
      <w:r w:rsidRPr="1E06730D">
        <w:rPr>
          <w:rFonts w:ascii="Cambria" w:eastAsia="Calibri" w:hAnsi="Cambria" w:cs="Calibri"/>
          <w:color w:val="000000" w:themeColor="text1"/>
          <w:sz w:val="24"/>
          <w:szCs w:val="24"/>
        </w:rPr>
        <w:t xml:space="preserve">Regression results (n=1173) indicated gender, total-income, and highest-education were significant predictors of chronic pain. Significant interactions to explain chronic pain included physical-abuse/emotional-neglect, emotional-abuse/physical-abuse, physical-abuse/minimization, physical-neglect/education, CRP/income, and CRP/education. For objective 3 (n=600), there were no significant main-effects, but a large variety of interactions contributed to predicting pain-medication consumption. CAs interacting significantly to explain </w:t>
      </w:r>
      <w:r w:rsidR="72864492" w:rsidRPr="1E06730D">
        <w:rPr>
          <w:rFonts w:ascii="Cambria" w:eastAsia="Calibri" w:hAnsi="Cambria" w:cs="Calibri"/>
          <w:color w:val="000000" w:themeColor="text1"/>
          <w:sz w:val="24"/>
          <w:szCs w:val="24"/>
        </w:rPr>
        <w:t xml:space="preserve">pain-medication consumption </w:t>
      </w:r>
      <w:r w:rsidRPr="1E06730D">
        <w:rPr>
          <w:rFonts w:ascii="Cambria" w:eastAsia="Calibri" w:hAnsi="Cambria" w:cs="Calibri"/>
          <w:color w:val="000000" w:themeColor="text1"/>
          <w:sz w:val="24"/>
          <w:szCs w:val="24"/>
        </w:rPr>
        <w:t>included emotional-abuse/physical-abuse, physical-abuse/emotional-neglect, physical-abuse/minimization, and sexual-abuse/minimization. There were also multiple significant interactions between CAs/control-variables, and for anxiety/CRP: trait-anxiety/income, CRP/income, and CRP/education.</w:t>
      </w:r>
    </w:p>
    <w:bookmarkEnd w:id="71"/>
    <w:p w14:paraId="758A32D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Conclusions:</w:t>
      </w:r>
      <w:r w:rsidRPr="002D1216">
        <w:rPr>
          <w:rFonts w:ascii="Cambria" w:eastAsia="Calibri" w:hAnsi="Cambria" w:cs="Calibri"/>
          <w:color w:val="000000"/>
          <w:sz w:val="24"/>
          <w:szCs w:val="24"/>
        </w:rPr>
        <w:t xml:space="preserve"> Based on a large US-sample, socio-demographics played a meaningful role in predicting chronic pain in adults, and CRP was significantly correlated with anxiety, emotional-abuse, physical-neglect, multiple socio-demographic variables, and chronic pain. The influence of CAs on predicting long term medication use for chronic pain were complex and warrant further study.</w:t>
      </w:r>
    </w:p>
    <w:p w14:paraId="4BA5AC22" w14:textId="74AE1D10"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br w:type="page"/>
      </w:r>
    </w:p>
    <w:p w14:paraId="2DC972EA" w14:textId="77777777" w:rsidR="002D1216" w:rsidRPr="002D1216" w:rsidRDefault="002D1216" w:rsidP="002B0F75">
      <w:pPr>
        <w:spacing w:after="0" w:line="360" w:lineRule="auto"/>
        <w:rPr>
          <w:rFonts w:ascii="Cambria" w:eastAsia="Calibri" w:hAnsi="Cambria" w:cs="Calibri"/>
          <w:b/>
          <w:bCs/>
          <w:color w:val="000000"/>
          <w:sz w:val="24"/>
          <w:szCs w:val="24"/>
        </w:rPr>
      </w:pPr>
      <w:bookmarkStart w:id="72" w:name="_Hlk137914155"/>
      <w:r w:rsidRPr="002D1216">
        <w:rPr>
          <w:rFonts w:ascii="Cambria" w:eastAsia="Calibri" w:hAnsi="Cambria" w:cs="Calibri"/>
          <w:b/>
          <w:bCs/>
          <w:color w:val="000000"/>
          <w:sz w:val="24"/>
          <w:szCs w:val="24"/>
        </w:rPr>
        <w:lastRenderedPageBreak/>
        <w:t>Background</w:t>
      </w:r>
    </w:p>
    <w:p w14:paraId="3326EF41" w14:textId="77777777" w:rsidR="00916C80" w:rsidRDefault="00916C80" w:rsidP="002B0F75">
      <w:pPr>
        <w:spacing w:after="0" w:line="360" w:lineRule="auto"/>
        <w:rPr>
          <w:rFonts w:ascii="Cambria" w:eastAsia="Calibri" w:hAnsi="Cambria" w:cs="Calibri"/>
          <w:color w:val="000000"/>
          <w:sz w:val="24"/>
          <w:szCs w:val="24"/>
        </w:rPr>
      </w:pPr>
    </w:p>
    <w:p w14:paraId="244A3754" w14:textId="569DEA38"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In recent years, there have been advances in research regarding the prevalence of adverse childhood experiences (ACEs) and resulting poor health outcomes for adults who have a history of experiencing </w:t>
      </w:r>
      <w:bookmarkStart w:id="73" w:name="_Hlk146011789"/>
      <w:r w:rsidRPr="002D1216">
        <w:rPr>
          <w:rFonts w:ascii="Cambria" w:eastAsia="Calibri" w:hAnsi="Cambria" w:cs="Calibri"/>
          <w:color w:val="000000"/>
          <w:sz w:val="24"/>
          <w:szCs w:val="24"/>
        </w:rPr>
        <w:t>childhood adversity</w:t>
      </w:r>
      <w:bookmarkEnd w:id="73"/>
      <w:r w:rsidRPr="002D1216">
        <w:rPr>
          <w:rFonts w:ascii="Cambria" w:eastAsia="Calibri" w:hAnsi="Cambria" w:cs="Calibri"/>
          <w:color w:val="000000"/>
          <w:sz w:val="24"/>
          <w:szCs w:val="24"/>
        </w:rPr>
        <w:t xml:space="preserve"> (CA). The first ACE study, for example, found a strong relationship between exposure to abuse or household dysfunction during childhood and multiple health risk factors for the leading causes of death in adulthood (</w:t>
      </w:r>
      <w:proofErr w:type="spellStart"/>
      <w:r w:rsidR="00916C80">
        <w:rPr>
          <w:rFonts w:ascii="Cambria" w:eastAsia="Calibri" w:hAnsi="Cambria" w:cs="Calibri"/>
          <w:color w:val="000000"/>
          <w:sz w:val="24"/>
          <w:szCs w:val="24"/>
        </w:rPr>
        <w:t>Felitti</w:t>
      </w:r>
      <w:proofErr w:type="spellEnd"/>
      <w:r w:rsidR="00916C80">
        <w:rPr>
          <w:rFonts w:ascii="Cambria" w:eastAsia="Calibri" w:hAnsi="Cambria" w:cs="Calibri"/>
          <w:color w:val="000000"/>
          <w:sz w:val="24"/>
          <w:szCs w:val="24"/>
        </w:rPr>
        <w:t xml:space="preserve"> et al. 1998; CDC 2022</w:t>
      </w:r>
      <w:r w:rsidRPr="002D1216">
        <w:rPr>
          <w:rFonts w:ascii="Cambria" w:eastAsia="Calibri" w:hAnsi="Cambria" w:cs="Calibri"/>
          <w:color w:val="000000"/>
          <w:sz w:val="24"/>
          <w:szCs w:val="24"/>
        </w:rPr>
        <w:t>). Due to this expanding field of research, CA is no longer perceived as solely a social issue, as it affects overall health and development throughout the entire lifetime of an individual.</w:t>
      </w:r>
    </w:p>
    <w:p w14:paraId="4BA1FE38" w14:textId="77777777" w:rsidR="00916C80" w:rsidRPr="002D1216" w:rsidRDefault="00916C80" w:rsidP="002B0F75">
      <w:pPr>
        <w:spacing w:after="0" w:line="360" w:lineRule="auto"/>
        <w:rPr>
          <w:rFonts w:ascii="Cambria" w:eastAsia="Calibri" w:hAnsi="Cambria" w:cs="Calibri"/>
          <w:color w:val="000000"/>
          <w:sz w:val="24"/>
          <w:szCs w:val="24"/>
        </w:rPr>
      </w:pPr>
    </w:p>
    <w:p w14:paraId="4E394D75" w14:textId="7253C15C"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Stress-related physiological alterations, influenced by potentially traumatic events and experiences such as ACEs, are linked with affective and physiological states including depression, inflammation, and shortened telomeres, which increase morbidity and mortality risks (</w:t>
      </w:r>
      <w:r w:rsidR="00916C80">
        <w:rPr>
          <w:rFonts w:ascii="Cambria" w:eastAsia="Calibri" w:hAnsi="Cambria" w:cs="Calibri"/>
          <w:color w:val="000000"/>
          <w:sz w:val="24"/>
          <w:szCs w:val="24"/>
        </w:rPr>
        <w:t>Elliot et al. 2018</w:t>
      </w:r>
      <w:r w:rsidRPr="002D1216">
        <w:rPr>
          <w:rFonts w:ascii="Cambria" w:eastAsia="Calibri" w:hAnsi="Cambria" w:cs="Calibri"/>
          <w:color w:val="000000"/>
          <w:sz w:val="24"/>
          <w:szCs w:val="24"/>
        </w:rPr>
        <w:t xml:space="preserve">). Some of the adult health </w:t>
      </w:r>
      <w:r w:rsidR="001A5683" w:rsidRPr="002D1216">
        <w:rPr>
          <w:rFonts w:ascii="Cambria" w:eastAsia="Calibri" w:hAnsi="Cambria" w:cs="Calibri"/>
          <w:color w:val="000000"/>
          <w:sz w:val="24"/>
          <w:szCs w:val="24"/>
        </w:rPr>
        <w:t>behaviours</w:t>
      </w:r>
      <w:r w:rsidRPr="002D1216">
        <w:rPr>
          <w:rFonts w:ascii="Cambria" w:eastAsia="Calibri" w:hAnsi="Cambria" w:cs="Calibri"/>
          <w:color w:val="000000"/>
          <w:sz w:val="24"/>
          <w:szCs w:val="24"/>
        </w:rPr>
        <w:t xml:space="preserve"> potentially linking ACEs and these risks range from smoking and alcoholism to substance abuse such as overuse of pain medication. There is increasing evidence that ACEs are associated with persistent pain in adults, which may in turn influence self-medicating to avoid or relieve pain. For example, a 30-year prospective follow-up of a cohort of individuals with court-documented ACEs and a demographically matched control sample showed a small (partial eta squared (η</w:t>
      </w:r>
      <w:r w:rsidRPr="002D1216">
        <w:rPr>
          <w:rFonts w:ascii="Cambria" w:eastAsia="Calibri" w:hAnsi="Cambria" w:cs="Calibri"/>
          <w:color w:val="000000"/>
          <w:sz w:val="24"/>
          <w:szCs w:val="24"/>
          <w:vertAlign w:val="superscript"/>
        </w:rPr>
        <w:t>2</w:t>
      </w:r>
      <w:r w:rsidRPr="002D1216">
        <w:rPr>
          <w:rFonts w:ascii="Cambria" w:eastAsia="Calibri" w:hAnsi="Cambria" w:cs="Calibri"/>
          <w:color w:val="000000"/>
          <w:sz w:val="24"/>
          <w:szCs w:val="24"/>
        </w:rPr>
        <w:t>) = .01), but statistically significant increase in the risk of pain in adulthood (</w:t>
      </w:r>
      <w:proofErr w:type="spellStart"/>
      <w:r w:rsidR="00916C80" w:rsidRPr="00916C80">
        <w:rPr>
          <w:rFonts w:ascii="Cambria" w:eastAsia="Calibri" w:hAnsi="Cambria" w:cs="Calibri"/>
          <w:color w:val="000000"/>
          <w:sz w:val="24"/>
          <w:szCs w:val="24"/>
        </w:rPr>
        <w:t>Bussières</w:t>
      </w:r>
      <w:proofErr w:type="spellEnd"/>
      <w:r w:rsidR="00916C80" w:rsidRPr="00916C80" w:rsidDel="00916C80">
        <w:rPr>
          <w:rFonts w:ascii="Cambria" w:eastAsia="Calibri" w:hAnsi="Cambria" w:cs="Calibri"/>
          <w:color w:val="000000"/>
          <w:sz w:val="24"/>
          <w:szCs w:val="24"/>
        </w:rPr>
        <w:t xml:space="preserve"> </w:t>
      </w:r>
      <w:r w:rsidR="00916C80">
        <w:rPr>
          <w:rFonts w:ascii="Cambria" w:eastAsia="Calibri" w:hAnsi="Cambria" w:cs="Calibri"/>
          <w:color w:val="000000"/>
          <w:sz w:val="24"/>
          <w:szCs w:val="24"/>
        </w:rPr>
        <w:t>et al. 2020</w:t>
      </w:r>
      <w:r w:rsidRPr="002D1216">
        <w:rPr>
          <w:rFonts w:ascii="Cambria" w:eastAsia="Calibri" w:hAnsi="Cambria" w:cs="Calibri"/>
          <w:color w:val="000000"/>
          <w:sz w:val="24"/>
          <w:szCs w:val="24"/>
        </w:rPr>
        <w:t xml:space="preserve">). </w:t>
      </w:r>
      <w:bookmarkStart w:id="74" w:name="_Hlk149296146"/>
      <w:r w:rsidRPr="002D1216">
        <w:rPr>
          <w:rFonts w:ascii="Cambria" w:eastAsia="Calibri" w:hAnsi="Cambria" w:cs="Calibri"/>
          <w:color w:val="000000"/>
          <w:sz w:val="24"/>
          <w:szCs w:val="24"/>
        </w:rPr>
        <w:t>Further, a recent systematic review documented high levels of CAs in adults with chronic pain, and showed that CAs impacted the form, presence, severity, and extent of chronic pain in adults (</w:t>
      </w:r>
      <w:r w:rsidR="00916C80">
        <w:rPr>
          <w:rFonts w:ascii="Cambria" w:eastAsia="Calibri" w:hAnsi="Cambria" w:cs="Calibri"/>
          <w:color w:val="000000"/>
          <w:sz w:val="24"/>
          <w:szCs w:val="24"/>
        </w:rPr>
        <w:t>Nicolson et al. 2023</w:t>
      </w:r>
      <w:r w:rsidRPr="002D1216">
        <w:rPr>
          <w:rFonts w:ascii="Cambria" w:eastAsia="Calibri" w:hAnsi="Cambria" w:cs="Calibri"/>
          <w:color w:val="000000"/>
          <w:sz w:val="24"/>
          <w:szCs w:val="24"/>
        </w:rPr>
        <w:t xml:space="preserve">). </w:t>
      </w:r>
      <w:bookmarkStart w:id="75" w:name="_Hlk149297448"/>
      <w:r w:rsidRPr="002D1216">
        <w:rPr>
          <w:rFonts w:ascii="Cambria" w:eastAsia="Calibri" w:hAnsi="Cambria" w:cs="Calibri"/>
          <w:color w:val="000000"/>
          <w:sz w:val="24"/>
          <w:szCs w:val="24"/>
        </w:rPr>
        <w:t>A 2020 US-based analysis tested the associations between ACEs and subsequent prescription pain medicine/opioid misuse outcomes in adults, and results indicated that the presence of ACEs was positively associated with prescription opioid misuse across the two state samples assessed (</w:t>
      </w:r>
      <w:r w:rsidR="00916C80">
        <w:rPr>
          <w:rFonts w:ascii="Cambria" w:eastAsia="Calibri" w:hAnsi="Cambria" w:cs="Calibri"/>
          <w:color w:val="000000"/>
          <w:sz w:val="24"/>
          <w:szCs w:val="24"/>
        </w:rPr>
        <w:t>Merrick et al. 2020</w:t>
      </w:r>
      <w:r w:rsidRPr="002D1216">
        <w:rPr>
          <w:rFonts w:ascii="Cambria" w:eastAsia="Calibri" w:hAnsi="Cambria" w:cs="Calibri"/>
          <w:color w:val="000000"/>
          <w:sz w:val="24"/>
          <w:szCs w:val="24"/>
        </w:rPr>
        <w:t>). Adults that reported three or more ACEs had increased odds of taking opioids more than prescribed and without a prescription (</w:t>
      </w:r>
      <w:r w:rsidR="00916C80">
        <w:rPr>
          <w:rFonts w:ascii="Cambria" w:eastAsia="Calibri" w:hAnsi="Cambria" w:cs="Calibri"/>
          <w:color w:val="000000"/>
          <w:sz w:val="24"/>
          <w:szCs w:val="24"/>
        </w:rPr>
        <w:t>Merrick et al. 2020</w:t>
      </w:r>
      <w:r w:rsidRPr="002D1216">
        <w:rPr>
          <w:rFonts w:ascii="Cambria" w:eastAsia="Calibri" w:hAnsi="Cambria" w:cs="Calibri"/>
          <w:color w:val="000000"/>
          <w:sz w:val="24"/>
          <w:szCs w:val="24"/>
        </w:rPr>
        <w:t>).</w:t>
      </w:r>
      <w:bookmarkEnd w:id="74"/>
      <w:bookmarkEnd w:id="75"/>
    </w:p>
    <w:p w14:paraId="55B7BF70" w14:textId="77777777" w:rsidR="00916C80" w:rsidRPr="002D1216" w:rsidRDefault="00916C80" w:rsidP="002B0F75">
      <w:pPr>
        <w:spacing w:after="0" w:line="360" w:lineRule="auto"/>
        <w:rPr>
          <w:rFonts w:ascii="Cambria" w:eastAsia="Calibri" w:hAnsi="Cambria" w:cs="Calibri"/>
          <w:color w:val="000000"/>
          <w:sz w:val="24"/>
          <w:szCs w:val="24"/>
        </w:rPr>
      </w:pPr>
    </w:p>
    <w:p w14:paraId="075D6756" w14:textId="5040F30D"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However, findings from recent longitudinal studies investigating the association between types of ACEs and pain have yielded inconsistent findings in the strength and direction of associations </w:t>
      </w:r>
      <w:bookmarkStart w:id="76" w:name="_Hlk135491696"/>
      <w:r w:rsidRPr="002D1216">
        <w:rPr>
          <w:rFonts w:ascii="Cambria" w:eastAsia="Calibri" w:hAnsi="Cambria" w:cs="Calibri"/>
          <w:color w:val="000000"/>
          <w:sz w:val="24"/>
          <w:szCs w:val="24"/>
        </w:rPr>
        <w:t>(</w:t>
      </w:r>
      <w:proofErr w:type="spellStart"/>
      <w:r w:rsidR="00916C80" w:rsidRPr="00916C80">
        <w:rPr>
          <w:rFonts w:ascii="Cambria" w:eastAsia="Calibri" w:hAnsi="Cambria" w:cs="Calibri"/>
          <w:color w:val="000000"/>
          <w:sz w:val="24"/>
          <w:szCs w:val="24"/>
        </w:rPr>
        <w:t>Bussières</w:t>
      </w:r>
      <w:proofErr w:type="spellEnd"/>
      <w:r w:rsidR="00916C80" w:rsidRPr="00916C80" w:rsidDel="00916C80">
        <w:rPr>
          <w:rFonts w:ascii="Cambria" w:eastAsia="Calibri" w:hAnsi="Cambria" w:cs="Calibri"/>
          <w:color w:val="000000"/>
          <w:sz w:val="24"/>
          <w:szCs w:val="24"/>
        </w:rPr>
        <w:t xml:space="preserve"> </w:t>
      </w:r>
      <w:r w:rsidR="00916C80">
        <w:rPr>
          <w:rFonts w:ascii="Cambria" w:eastAsia="Calibri" w:hAnsi="Cambria" w:cs="Calibri"/>
          <w:color w:val="000000"/>
          <w:sz w:val="24"/>
          <w:szCs w:val="24"/>
        </w:rPr>
        <w:t>et al. 2020</w:t>
      </w:r>
      <w:r w:rsidRPr="002D1216">
        <w:rPr>
          <w:rFonts w:ascii="Cambria" w:eastAsia="Calibri" w:hAnsi="Cambria" w:cs="Calibri"/>
          <w:color w:val="000000"/>
          <w:sz w:val="24"/>
          <w:szCs w:val="24"/>
        </w:rPr>
        <w:t>)</w:t>
      </w:r>
      <w:bookmarkEnd w:id="76"/>
      <w:r w:rsidRPr="002D1216">
        <w:rPr>
          <w:rFonts w:ascii="Cambria" w:eastAsia="Calibri" w:hAnsi="Cambria" w:cs="Calibri"/>
          <w:color w:val="000000"/>
          <w:sz w:val="24"/>
          <w:szCs w:val="24"/>
        </w:rPr>
        <w:t xml:space="preserve">, warranting more examination into the potential relationships, associations, and pathways involved. Prior reviews have also highlighted the negative impact of ACEs on psychological (anxiety, depression, self-harming), </w:t>
      </w:r>
      <w:r w:rsidR="001A5683" w:rsidRPr="002D1216">
        <w:rPr>
          <w:rFonts w:ascii="Cambria" w:eastAsia="Calibri" w:hAnsi="Cambria" w:cs="Calibri"/>
          <w:color w:val="000000"/>
          <w:sz w:val="24"/>
          <w:szCs w:val="24"/>
        </w:rPr>
        <w:t>behavioural</w:t>
      </w:r>
      <w:r w:rsidRPr="002D1216">
        <w:rPr>
          <w:rFonts w:ascii="Cambria" w:eastAsia="Calibri" w:hAnsi="Cambria" w:cs="Calibri"/>
          <w:color w:val="000000"/>
          <w:sz w:val="24"/>
          <w:szCs w:val="24"/>
        </w:rPr>
        <w:t xml:space="preserve"> (risk taking, smoking, alcohol and drug abuse, violence), and physical health (obesity, diabetes, cancer, heart, and respiratory disease) (</w:t>
      </w:r>
      <w:r w:rsidR="00916C80">
        <w:rPr>
          <w:rFonts w:ascii="Cambria" w:eastAsia="Calibri" w:hAnsi="Cambria" w:cs="Calibri"/>
          <w:color w:val="000000"/>
          <w:sz w:val="24"/>
          <w:szCs w:val="24"/>
        </w:rPr>
        <w:t>Hughes et al. 2017</w:t>
      </w:r>
      <w:r w:rsidRPr="002D1216">
        <w:rPr>
          <w:rFonts w:ascii="Cambria" w:eastAsia="Calibri" w:hAnsi="Cambria" w:cs="Calibri"/>
          <w:color w:val="000000"/>
          <w:sz w:val="24"/>
          <w:szCs w:val="24"/>
        </w:rPr>
        <w:t xml:space="preserve">). </w:t>
      </w:r>
      <w:bookmarkStart w:id="77" w:name="_Hlk149295950"/>
      <w:r w:rsidRPr="002D1216">
        <w:rPr>
          <w:rFonts w:ascii="Cambria" w:eastAsia="Calibri" w:hAnsi="Cambria" w:cs="Calibri"/>
          <w:color w:val="000000"/>
          <w:sz w:val="24"/>
          <w:szCs w:val="24"/>
        </w:rPr>
        <w:t>However, the impact of CAs on persistent adult outcomes is less clear and may involve other factors such as inflammatory biomarkers and anxiety, which have received less research attention than depression. In chronic pain populations, in particular it has been shown that anxiety disorders are second only to depression as a psychological comorbidity. Clinical or pathological anxiety involves increased feelings of dread that interfere with standard functioning and may be influencing hypervigilance, potentially contributing to or exacerbating pain experiences (</w:t>
      </w:r>
      <w:r w:rsidR="00916C80">
        <w:rPr>
          <w:rFonts w:ascii="Cambria" w:eastAsia="Calibri" w:hAnsi="Cambria" w:cs="Calibri"/>
          <w:color w:val="000000"/>
          <w:sz w:val="24"/>
          <w:szCs w:val="24"/>
        </w:rPr>
        <w:t>Woo et al. 2010</w:t>
      </w:r>
      <w:r w:rsidRPr="002D1216">
        <w:rPr>
          <w:rFonts w:ascii="Cambria" w:eastAsia="Calibri" w:hAnsi="Cambria" w:cs="Calibri"/>
          <w:color w:val="000000"/>
          <w:sz w:val="24"/>
          <w:szCs w:val="24"/>
        </w:rPr>
        <w:t xml:space="preserve">). Further, elevated levels of proinflammatory cytokines such as interleukins—a downstream product of C-reactive protein (CRP) </w:t>
      </w:r>
      <w:r w:rsidR="001A5683" w:rsidRPr="002D1216">
        <w:rPr>
          <w:rFonts w:ascii="Cambria" w:eastAsia="Calibri" w:hAnsi="Cambria" w:cs="Calibri"/>
          <w:color w:val="000000"/>
          <w:sz w:val="24"/>
          <w:szCs w:val="24"/>
        </w:rPr>
        <w:t>signalling</w:t>
      </w:r>
      <w:r w:rsidRPr="002D1216">
        <w:rPr>
          <w:rFonts w:ascii="Cambria" w:eastAsia="Calibri" w:hAnsi="Cambria" w:cs="Calibri"/>
          <w:color w:val="000000"/>
          <w:sz w:val="24"/>
          <w:szCs w:val="24"/>
        </w:rPr>
        <w:t>, and acute-phase proteins like CRP—have been observed in the plasma of individuals who have experienced CAs or trauma, and meta-analyses of cross-sectional studies have also confirmed the association of higher inflammation with traumatic experiences (</w:t>
      </w:r>
      <w:r w:rsidR="00916C80">
        <w:rPr>
          <w:rFonts w:ascii="Cambria" w:eastAsia="Calibri" w:hAnsi="Cambria" w:cs="Calibri"/>
          <w:color w:val="000000"/>
          <w:sz w:val="24"/>
          <w:szCs w:val="24"/>
        </w:rPr>
        <w:t>Muniz Carvalho et al. 2021</w:t>
      </w:r>
      <w:r w:rsidRPr="002D1216">
        <w:rPr>
          <w:rFonts w:ascii="Cambria" w:eastAsia="Calibri" w:hAnsi="Cambria" w:cs="Calibri"/>
          <w:color w:val="000000"/>
          <w:sz w:val="24"/>
          <w:szCs w:val="24"/>
        </w:rPr>
        <w:t>). CRP is a protein that responds to inflammatory stimuli by triggering cellular reactions, making it of relevance in the biological impact of childhood trauma. A</w:t>
      </w:r>
      <w:bookmarkStart w:id="78" w:name="_Hlk148521858"/>
      <w:r w:rsidRPr="002D1216">
        <w:rPr>
          <w:rFonts w:ascii="Cambria" w:eastAsia="Calibri" w:hAnsi="Cambria" w:cs="Calibri"/>
          <w:color w:val="000000"/>
          <w:sz w:val="24"/>
          <w:szCs w:val="24"/>
        </w:rPr>
        <w:t xml:space="preserve"> better understanding of these relationships has important implications for public health.</w:t>
      </w:r>
    </w:p>
    <w:p w14:paraId="506204E9" w14:textId="77777777" w:rsidR="00916C80" w:rsidRPr="002D1216" w:rsidRDefault="00916C80" w:rsidP="002B0F75">
      <w:pPr>
        <w:spacing w:after="0" w:line="360" w:lineRule="auto"/>
        <w:rPr>
          <w:rFonts w:ascii="Cambria" w:eastAsia="Calibri" w:hAnsi="Cambria" w:cs="Calibri"/>
          <w:color w:val="000000"/>
          <w:sz w:val="24"/>
          <w:szCs w:val="24"/>
        </w:rPr>
      </w:pPr>
    </w:p>
    <w:bookmarkEnd w:id="77"/>
    <w:bookmarkEnd w:id="78"/>
    <w:p w14:paraId="2551FBF3" w14:textId="77777777" w:rsid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Aims &amp; Hypotheses</w:t>
      </w:r>
    </w:p>
    <w:p w14:paraId="7A306AC6" w14:textId="77777777" w:rsidR="00916C80" w:rsidRPr="002D1216" w:rsidRDefault="00916C80" w:rsidP="002B0F75">
      <w:pPr>
        <w:spacing w:after="0" w:line="360" w:lineRule="auto"/>
        <w:rPr>
          <w:rFonts w:ascii="Cambria" w:eastAsia="Calibri" w:hAnsi="Cambria" w:cs="Calibri"/>
          <w:b/>
          <w:bCs/>
          <w:color w:val="000000"/>
          <w:sz w:val="24"/>
          <w:szCs w:val="24"/>
        </w:rPr>
      </w:pPr>
    </w:p>
    <w:p w14:paraId="553B6B79"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Consequently, the overarching aim of this study was to utilize the </w:t>
      </w:r>
      <w:bookmarkStart w:id="79" w:name="_Hlk157351939"/>
      <w:r w:rsidRPr="002D1216">
        <w:rPr>
          <w:rFonts w:ascii="Cambria" w:eastAsia="Calibri" w:hAnsi="Cambria" w:cs="Calibri"/>
          <w:color w:val="000000"/>
          <w:sz w:val="24"/>
          <w:szCs w:val="24"/>
        </w:rPr>
        <w:t>Midlife Development in the United States</w:t>
      </w:r>
      <w:bookmarkEnd w:id="79"/>
      <w:r w:rsidRPr="002D1216">
        <w:rPr>
          <w:rFonts w:ascii="Cambria" w:eastAsia="Calibri" w:hAnsi="Cambria" w:cs="Calibri"/>
          <w:color w:val="000000"/>
          <w:sz w:val="24"/>
          <w:szCs w:val="24"/>
        </w:rPr>
        <w:t xml:space="preserve"> (MIDUS) dataset to identify biopsychosocial pathways that may link CAs with adult chronic pain. The specific objectives are: 1) to examine the relationships between reported CAs, anxiety, and pain; 2) to assess the associations between </w:t>
      </w:r>
      <w:bookmarkStart w:id="80" w:name="_Hlk136536980"/>
      <w:r w:rsidRPr="002D1216">
        <w:rPr>
          <w:rFonts w:ascii="Cambria" w:eastAsia="Calibri" w:hAnsi="Cambria" w:cs="Calibri"/>
          <w:color w:val="000000"/>
          <w:sz w:val="24"/>
          <w:szCs w:val="24"/>
        </w:rPr>
        <w:t>CAs, anxiety, inflammation (measured through CRP levels)</w:t>
      </w:r>
      <w:bookmarkEnd w:id="80"/>
      <w:r w:rsidRPr="002D1216">
        <w:rPr>
          <w:rFonts w:ascii="Cambria" w:eastAsia="Calibri" w:hAnsi="Cambria" w:cs="Calibri"/>
          <w:color w:val="000000"/>
          <w:sz w:val="24"/>
          <w:szCs w:val="24"/>
        </w:rPr>
        <w:t>, and pain; and 3</w:t>
      </w:r>
      <w:bookmarkStart w:id="81" w:name="_Hlk148945619"/>
      <w:r w:rsidRPr="002D1216">
        <w:rPr>
          <w:rFonts w:ascii="Cambria" w:eastAsia="Calibri" w:hAnsi="Cambria" w:cs="Calibri"/>
          <w:color w:val="000000"/>
          <w:sz w:val="24"/>
          <w:szCs w:val="24"/>
        </w:rPr>
        <w:t xml:space="preserve">) to explore how CAs, anxiety, and CRP may be associated with pain medication consumption in the United States </w:t>
      </w:r>
      <w:r w:rsidRPr="002D1216">
        <w:rPr>
          <w:rFonts w:ascii="Cambria" w:eastAsia="Calibri" w:hAnsi="Cambria" w:cs="Calibri"/>
          <w:color w:val="000000"/>
          <w:sz w:val="24"/>
          <w:szCs w:val="24"/>
        </w:rPr>
        <w:lastRenderedPageBreak/>
        <w:t>as a proxy for chronic pain as a health outcome</w:t>
      </w:r>
      <w:bookmarkEnd w:id="81"/>
      <w:r w:rsidRPr="002D1216">
        <w:rPr>
          <w:rFonts w:ascii="Cambria" w:eastAsia="Calibri" w:hAnsi="Cambria" w:cs="Calibri"/>
          <w:color w:val="000000"/>
          <w:sz w:val="24"/>
          <w:szCs w:val="24"/>
        </w:rPr>
        <w:t xml:space="preserve">. </w:t>
      </w:r>
      <w:bookmarkStart w:id="82" w:name="_Hlk148979588"/>
      <w:bookmarkStart w:id="83" w:name="_Hlk152183163"/>
      <w:bookmarkStart w:id="84" w:name="_Hlk152001046"/>
      <w:r w:rsidRPr="002D1216">
        <w:rPr>
          <w:rFonts w:ascii="Cambria" w:eastAsia="Calibri" w:hAnsi="Cambria" w:cs="Calibri"/>
          <w:color w:val="000000"/>
          <w:sz w:val="24"/>
          <w:szCs w:val="24"/>
        </w:rPr>
        <w:t>To date, little evidence is available in large, representative samples that address all these associations together rather than looking at one association separately in smaller samples</w:t>
      </w:r>
      <w:bookmarkStart w:id="85" w:name="_Hlk152183002"/>
      <w:r w:rsidRPr="002D1216">
        <w:rPr>
          <w:rFonts w:ascii="Cambria" w:eastAsia="Calibri" w:hAnsi="Cambria" w:cs="Calibri"/>
          <w:color w:val="000000"/>
          <w:sz w:val="24"/>
          <w:szCs w:val="24"/>
        </w:rPr>
        <w:t>. This study offered a uniquely large dataset and novel analyses including all variables of interest to explore their distinctive associations.</w:t>
      </w:r>
      <w:bookmarkEnd w:id="82"/>
      <w:r w:rsidRPr="002D1216">
        <w:rPr>
          <w:rFonts w:ascii="Cambria" w:eastAsia="Calibri" w:hAnsi="Cambria" w:cs="Calibri"/>
          <w:color w:val="000000"/>
          <w:sz w:val="24"/>
          <w:szCs w:val="24"/>
        </w:rPr>
        <w:t xml:space="preserve"> The conceptual model, based on the scattered evidence available to date, underpinning the present research questions is that CAs positively relate to adult chronic pain, with anxiety and inflammation (indexed by CRP) potentially influencing this association. I</w:t>
      </w:r>
      <w:bookmarkStart w:id="86" w:name="_Hlk148972948"/>
      <w:bookmarkEnd w:id="83"/>
      <w:bookmarkEnd w:id="85"/>
      <w:r w:rsidRPr="002D1216">
        <w:rPr>
          <w:rFonts w:ascii="Cambria" w:eastAsia="Calibri" w:hAnsi="Cambria" w:cs="Calibri"/>
          <w:color w:val="000000"/>
          <w:sz w:val="24"/>
          <w:szCs w:val="24"/>
        </w:rPr>
        <w:t xml:space="preserve">t was hypothesized that CAs relate to chronic pain experience in adulthood, and that there would be positive associations between 1) CAs and anxiety, 2) CAs and CRP levels, 3) CAs and pain, and that the link between CAs and pain would be influenced by anxiety and/or CRP. Although objective 3 is exploratory, it is hypothesized that CAs, anxiety, and CRP would all be positively associated with increased pain medication consumption in the United States. </w:t>
      </w:r>
      <w:bookmarkEnd w:id="84"/>
    </w:p>
    <w:p w14:paraId="4966F0C7" w14:textId="77777777" w:rsidR="00916C80" w:rsidRPr="002D1216" w:rsidRDefault="00916C80" w:rsidP="002B0F75">
      <w:pPr>
        <w:spacing w:after="0" w:line="360" w:lineRule="auto"/>
        <w:rPr>
          <w:rFonts w:ascii="Cambria" w:eastAsia="Calibri" w:hAnsi="Cambria" w:cs="Calibri"/>
          <w:color w:val="000000"/>
          <w:sz w:val="24"/>
          <w:szCs w:val="24"/>
        </w:rPr>
      </w:pPr>
    </w:p>
    <w:p w14:paraId="6396E4C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corresponding null hypotheses (H0) are 1) there will be no significant positive association between CAs and anxiety, 2) there will be no significant positive association between CAs and CRP levels, and 3) there will be no significant positive association between CAs and pain. Further, any CAs and pain association will not be influenced by anxiety and/or CRP. For exploratory objective 3 the H0 is that CAs, anxiety, and CRP will not be associated with increased pain medication consumption in the United States.</w:t>
      </w:r>
    </w:p>
    <w:p w14:paraId="2ED2E49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Conceptually, it was expected that CAs relate to pain, with anxiety and inflammation potentially influencing the association (</w:t>
      </w:r>
      <w:r w:rsidRPr="002D1216">
        <w:rPr>
          <w:rFonts w:ascii="Cambria" w:eastAsia="Calibri" w:hAnsi="Cambria" w:cs="Calibri"/>
          <w:b/>
          <w:bCs/>
          <w:color w:val="000000"/>
          <w:sz w:val="24"/>
          <w:szCs w:val="24"/>
        </w:rPr>
        <w:t>Figure 1</w:t>
      </w:r>
      <w:r w:rsidRPr="002D1216">
        <w:rPr>
          <w:rFonts w:ascii="Cambria" w:eastAsia="Calibri" w:hAnsi="Cambria" w:cs="Calibri"/>
          <w:color w:val="000000"/>
          <w:sz w:val="24"/>
          <w:szCs w:val="24"/>
        </w:rPr>
        <w:t>).</w:t>
      </w:r>
    </w:p>
    <w:p w14:paraId="6B97F680" w14:textId="77777777" w:rsidR="002D1216" w:rsidRPr="002D1216" w:rsidRDefault="002D1216" w:rsidP="002B0F75">
      <w:pPr>
        <w:spacing w:after="0" w:line="360" w:lineRule="auto"/>
        <w:rPr>
          <w:rFonts w:ascii="Cambria" w:eastAsia="Calibri" w:hAnsi="Cambria" w:cs="Calibri"/>
          <w:color w:val="000000"/>
          <w:sz w:val="24"/>
          <w:szCs w:val="24"/>
        </w:rPr>
      </w:pPr>
    </w:p>
    <w:p w14:paraId="3FD88C8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noProof/>
          <w:color w:val="000000"/>
          <w:sz w:val="24"/>
          <w:szCs w:val="24"/>
        </w:rPr>
        <w:lastRenderedPageBreak/>
        <w:drawing>
          <wp:inline distT="0" distB="0" distL="0" distR="0" wp14:anchorId="32E9FE17" wp14:editId="55C59424">
            <wp:extent cx="5391150" cy="2404130"/>
            <wp:effectExtent l="0" t="0" r="0" b="0"/>
            <wp:docPr id="124923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4742" name=""/>
                    <pic:cNvPicPr/>
                  </pic:nvPicPr>
                  <pic:blipFill>
                    <a:blip r:embed="rId93"/>
                    <a:stretch>
                      <a:fillRect/>
                    </a:stretch>
                  </pic:blipFill>
                  <pic:spPr>
                    <a:xfrm>
                      <a:off x="0" y="0"/>
                      <a:ext cx="5397158" cy="2406809"/>
                    </a:xfrm>
                    <a:prstGeom prst="rect">
                      <a:avLst/>
                    </a:prstGeom>
                  </pic:spPr>
                </pic:pic>
              </a:graphicData>
            </a:graphic>
          </wp:inline>
        </w:drawing>
      </w:r>
    </w:p>
    <w:p w14:paraId="7194E765"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Figure 1. Conceptual model of how childhood adversity impacts adult chronic pain experience as potentially influenced by anxiety and inflammation (indexed by CRP)</w:t>
      </w:r>
    </w:p>
    <w:p w14:paraId="787DF64A" w14:textId="77777777" w:rsidR="002D1216" w:rsidRPr="002D1216" w:rsidRDefault="002D1216" w:rsidP="002B0F75">
      <w:pPr>
        <w:spacing w:after="0" w:line="360" w:lineRule="auto"/>
        <w:rPr>
          <w:rFonts w:ascii="Cambria" w:eastAsia="Calibri" w:hAnsi="Cambria" w:cs="Calibri"/>
          <w:color w:val="000000"/>
          <w:sz w:val="24"/>
          <w:szCs w:val="24"/>
        </w:rPr>
      </w:pPr>
    </w:p>
    <w:bookmarkEnd w:id="86"/>
    <w:p w14:paraId="135E649B" w14:textId="77777777" w:rsid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Methods</w:t>
      </w:r>
    </w:p>
    <w:p w14:paraId="1B1660F8" w14:textId="77777777" w:rsidR="00916C80" w:rsidRPr="002D1216" w:rsidRDefault="00916C80" w:rsidP="002B0F75">
      <w:pPr>
        <w:spacing w:after="0" w:line="360" w:lineRule="auto"/>
        <w:rPr>
          <w:rFonts w:ascii="Cambria" w:eastAsia="Calibri" w:hAnsi="Cambria" w:cs="Calibri"/>
          <w:color w:val="000000"/>
          <w:sz w:val="24"/>
          <w:szCs w:val="24"/>
        </w:rPr>
      </w:pPr>
    </w:p>
    <w:p w14:paraId="27463B31" w14:textId="77777777" w:rsidR="002D1216" w:rsidRDefault="002D1216" w:rsidP="002B0F75">
      <w:pPr>
        <w:spacing w:after="0" w:line="360" w:lineRule="auto"/>
        <w:rPr>
          <w:rFonts w:ascii="Cambria" w:eastAsia="Calibri" w:hAnsi="Cambria" w:cs="Calibri"/>
          <w:b/>
          <w:bCs/>
          <w:i/>
          <w:iCs/>
          <w:color w:val="000000"/>
          <w:sz w:val="24"/>
          <w:szCs w:val="24"/>
        </w:rPr>
      </w:pPr>
      <w:bookmarkStart w:id="87" w:name="_Hlk156652666"/>
      <w:r w:rsidRPr="002D1216">
        <w:rPr>
          <w:rFonts w:ascii="Cambria" w:eastAsia="Calibri" w:hAnsi="Cambria" w:cs="Calibri"/>
          <w:b/>
          <w:bCs/>
          <w:i/>
          <w:iCs/>
          <w:color w:val="000000"/>
          <w:sz w:val="24"/>
          <w:szCs w:val="24"/>
        </w:rPr>
        <w:t>Transparency Statement</w:t>
      </w:r>
    </w:p>
    <w:p w14:paraId="3F2978B4" w14:textId="77777777" w:rsidR="00916C80" w:rsidRPr="002D1216" w:rsidRDefault="00916C80" w:rsidP="002B0F75">
      <w:pPr>
        <w:spacing w:after="0" w:line="360" w:lineRule="auto"/>
        <w:rPr>
          <w:rFonts w:ascii="Cambria" w:eastAsia="Calibri" w:hAnsi="Cambria" w:cs="Calibri"/>
          <w:b/>
          <w:bCs/>
          <w:i/>
          <w:iCs/>
          <w:color w:val="000000"/>
          <w:sz w:val="24"/>
          <w:szCs w:val="24"/>
        </w:rPr>
      </w:pPr>
    </w:p>
    <w:p w14:paraId="4C599912"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All MIDUS datasets, materials, and documentation are archived at the </w:t>
      </w:r>
      <w:bookmarkStart w:id="88" w:name="_Hlk157353190"/>
      <w:r w:rsidRPr="002D1216">
        <w:rPr>
          <w:rFonts w:ascii="Cambria" w:eastAsia="Calibri" w:hAnsi="Cambria" w:cs="Calibri"/>
          <w:color w:val="000000"/>
          <w:sz w:val="24"/>
          <w:szCs w:val="24"/>
        </w:rPr>
        <w:t>ICPSR</w:t>
      </w:r>
      <w:bookmarkEnd w:id="88"/>
      <w:r w:rsidRPr="002D1216">
        <w:rPr>
          <w:rFonts w:ascii="Cambria" w:eastAsia="Calibri" w:hAnsi="Cambria" w:cs="Calibri"/>
          <w:color w:val="000000"/>
          <w:sz w:val="24"/>
          <w:szCs w:val="24"/>
        </w:rPr>
        <w:t xml:space="preserve"> (</w:t>
      </w:r>
      <w:hyperlink r:id="rId94" w:history="1">
        <w:r w:rsidRPr="002D1216">
          <w:rPr>
            <w:rStyle w:val="Hyperlink"/>
            <w:rFonts w:ascii="Cambria" w:eastAsia="Calibri" w:hAnsi="Cambria" w:cs="Calibri"/>
            <w:sz w:val="24"/>
            <w:szCs w:val="24"/>
          </w:rPr>
          <w:t>http://www.icpsr.umich.edu</w:t>
        </w:r>
      </w:hyperlink>
      <w:r w:rsidRPr="002D1216">
        <w:rPr>
          <w:rFonts w:ascii="Cambria" w:eastAsia="Calibri" w:hAnsi="Cambria" w:cs="Calibri"/>
          <w:color w:val="000000"/>
          <w:sz w:val="24"/>
          <w:szCs w:val="24"/>
        </w:rPr>
        <w:t>) repository at the University of Michigan and are publicly available in a variety of formats and statistical packages. In the sections that follow, we report all measures, manipulations, and exclusions.</w:t>
      </w:r>
    </w:p>
    <w:p w14:paraId="265AC007" w14:textId="77777777" w:rsidR="00916C80" w:rsidRPr="002D1216" w:rsidRDefault="00916C80" w:rsidP="002B0F75">
      <w:pPr>
        <w:spacing w:after="0" w:line="360" w:lineRule="auto"/>
        <w:rPr>
          <w:rFonts w:ascii="Cambria" w:eastAsia="Calibri" w:hAnsi="Cambria" w:cs="Calibri"/>
          <w:color w:val="000000"/>
          <w:sz w:val="24"/>
          <w:szCs w:val="24"/>
        </w:rPr>
      </w:pPr>
    </w:p>
    <w:bookmarkEnd w:id="87"/>
    <w:p w14:paraId="24523250" w14:textId="77777777" w:rsid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Dataset and Participants</w:t>
      </w:r>
    </w:p>
    <w:p w14:paraId="6B316512" w14:textId="77777777" w:rsidR="00916C80" w:rsidRPr="002D1216" w:rsidRDefault="00916C80" w:rsidP="002B0F75">
      <w:pPr>
        <w:spacing w:after="0" w:line="360" w:lineRule="auto"/>
        <w:rPr>
          <w:rFonts w:ascii="Cambria" w:eastAsia="Calibri" w:hAnsi="Cambria" w:cs="Calibri"/>
          <w:b/>
          <w:bCs/>
          <w:i/>
          <w:iCs/>
          <w:color w:val="000000"/>
          <w:sz w:val="24"/>
          <w:szCs w:val="24"/>
        </w:rPr>
      </w:pPr>
    </w:p>
    <w:p w14:paraId="0060FAB0" w14:textId="4CA71420"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dataset used for this secondary analysis was the publicly available MIDUS longitudinal study, a national survey of more than 7,000 Americans (aged 25 to 74) that started in 1994 (</w:t>
      </w:r>
      <w:r w:rsidR="0003790A">
        <w:rPr>
          <w:rFonts w:ascii="Cambria" w:eastAsia="Calibri" w:hAnsi="Cambria" w:cs="Calibri"/>
          <w:color w:val="000000"/>
          <w:sz w:val="24"/>
          <w:szCs w:val="24"/>
        </w:rPr>
        <w:t>Brim et al. 2020</w:t>
      </w:r>
      <w:r w:rsidRPr="002D1216">
        <w:rPr>
          <w:rFonts w:ascii="Cambria" w:eastAsia="Calibri" w:hAnsi="Cambria" w:cs="Calibri"/>
          <w:color w:val="000000"/>
          <w:sz w:val="24"/>
          <w:szCs w:val="24"/>
        </w:rPr>
        <w:t xml:space="preserve">). The purpose of the MIDUS study was to investigate the role of </w:t>
      </w:r>
      <w:r w:rsidR="001A5683" w:rsidRPr="002D1216">
        <w:rPr>
          <w:rFonts w:ascii="Cambria" w:eastAsia="Calibri" w:hAnsi="Cambria" w:cs="Calibri"/>
          <w:color w:val="000000"/>
          <w:sz w:val="24"/>
          <w:szCs w:val="24"/>
        </w:rPr>
        <w:t>behavioural</w:t>
      </w:r>
      <w:r w:rsidRPr="002D1216">
        <w:rPr>
          <w:rFonts w:ascii="Cambria" w:eastAsia="Calibri" w:hAnsi="Cambria" w:cs="Calibri"/>
          <w:color w:val="000000"/>
          <w:sz w:val="24"/>
          <w:szCs w:val="24"/>
        </w:rPr>
        <w:t xml:space="preserve">, psychological, and social factors in understanding age-related differences in physical and mental health. With support from the National Institute on Aging, a longitudinal follow-up of the original MIDUS samples was conducted in 2004-2006. The Biomarker study aiming to facilitate analyses that integrate </w:t>
      </w:r>
      <w:r w:rsidR="001A5683" w:rsidRPr="002D1216">
        <w:rPr>
          <w:rFonts w:ascii="Cambria" w:eastAsia="Calibri" w:hAnsi="Cambria" w:cs="Calibri"/>
          <w:color w:val="000000"/>
          <w:sz w:val="24"/>
          <w:szCs w:val="24"/>
        </w:rPr>
        <w:t>behavioural</w:t>
      </w:r>
      <w:r w:rsidRPr="002D1216">
        <w:rPr>
          <w:rFonts w:ascii="Cambria" w:eastAsia="Calibri" w:hAnsi="Cambria" w:cs="Calibri"/>
          <w:color w:val="000000"/>
          <w:sz w:val="24"/>
          <w:szCs w:val="24"/>
        </w:rPr>
        <w:t xml:space="preserve"> and psychosocial </w:t>
      </w:r>
      <w:r w:rsidRPr="002D1216">
        <w:rPr>
          <w:rFonts w:ascii="Cambria" w:eastAsia="Calibri" w:hAnsi="Cambria" w:cs="Calibri"/>
          <w:color w:val="000000"/>
          <w:sz w:val="24"/>
          <w:szCs w:val="24"/>
        </w:rPr>
        <w:lastRenderedPageBreak/>
        <w:t xml:space="preserve">factors with biology is Project 4 of the MIDUS 2 (M2P4), containing data from 1,255 respondents, and is the focus sample of these analyses. Respondents include two distinct subsamples: the longitudinal survey sample (n = 1,054) and the Milwaukee sample (n = 201), all of whom completed the Project 1 Survey. The Milwaukee group contained individuals who participated in the baseline MIDUS Milwaukee study initiated in 2005. All research participants were admitted to or studied at the University of Wisconsin-Clinical and Translational Research Core. </w:t>
      </w:r>
      <w:bookmarkStart w:id="89" w:name="_Hlk137375185"/>
      <w:r w:rsidRPr="002D1216">
        <w:rPr>
          <w:rFonts w:ascii="Cambria" w:eastAsia="Calibri" w:hAnsi="Cambria" w:cs="Calibri"/>
          <w:color w:val="000000"/>
          <w:sz w:val="24"/>
          <w:szCs w:val="24"/>
        </w:rPr>
        <w:t xml:space="preserve">Biomarker data was collected at three General Clinical Research </w:t>
      </w:r>
      <w:r w:rsidR="0003790A" w:rsidRPr="002D1216">
        <w:rPr>
          <w:rFonts w:ascii="Cambria" w:eastAsia="Calibri" w:hAnsi="Cambria" w:cs="Calibri"/>
          <w:color w:val="000000"/>
          <w:sz w:val="24"/>
          <w:szCs w:val="24"/>
        </w:rPr>
        <w:t>Centres</w:t>
      </w:r>
      <w:r w:rsidRPr="002D1216">
        <w:rPr>
          <w:rFonts w:ascii="Cambria" w:eastAsia="Calibri" w:hAnsi="Cambria" w:cs="Calibri"/>
          <w:color w:val="000000"/>
          <w:sz w:val="24"/>
          <w:szCs w:val="24"/>
        </w:rPr>
        <w:t xml:space="preserve"> (at UCLA, University of Wisconsin, and Georgetown University)</w:t>
      </w:r>
      <w:bookmarkEnd w:id="89"/>
      <w:r w:rsidRPr="002D1216">
        <w:rPr>
          <w:rFonts w:ascii="Cambria" w:eastAsia="Calibri" w:hAnsi="Cambria" w:cs="Calibri"/>
          <w:color w:val="000000"/>
          <w:sz w:val="24"/>
          <w:szCs w:val="24"/>
        </w:rPr>
        <w:t>. Finally, to augment the self-reported data collected in Project 1, participants completed a medical history and self-administered questionnaire. Participants were excluded if they did not respond to the Child Trauma Questionnaire</w:t>
      </w:r>
      <w:r w:rsidRPr="002D1216" w:rsidDel="004E3C9C">
        <w:rPr>
          <w:rFonts w:ascii="Cambria" w:eastAsia="Calibri" w:hAnsi="Cambria" w:cs="Calibri"/>
          <w:color w:val="000000"/>
          <w:sz w:val="24"/>
          <w:szCs w:val="24"/>
        </w:rPr>
        <w:t xml:space="preserve"> </w:t>
      </w:r>
      <w:r w:rsidRPr="002D1216">
        <w:rPr>
          <w:rFonts w:ascii="Cambria" w:eastAsia="Calibri" w:hAnsi="Cambria" w:cs="Calibri"/>
          <w:color w:val="000000"/>
          <w:sz w:val="24"/>
          <w:szCs w:val="24"/>
        </w:rPr>
        <w:t>(CTQ) and STAI questionnaires, had not met at least one of the chronic pain criteria, or if CRP was outside of the acceptable ranges (&gt;10% inter-assay variability).  Low anxiety score or lack of ACEs was not excluded.</w:t>
      </w:r>
    </w:p>
    <w:p w14:paraId="6C773F4A" w14:textId="77777777" w:rsidR="00916C80" w:rsidRPr="002D1216" w:rsidRDefault="00916C80" w:rsidP="002B0F75">
      <w:pPr>
        <w:spacing w:after="0" w:line="360" w:lineRule="auto"/>
        <w:rPr>
          <w:rFonts w:ascii="Cambria" w:eastAsia="Calibri" w:hAnsi="Cambria" w:cs="Calibri"/>
          <w:color w:val="000000"/>
          <w:sz w:val="24"/>
          <w:szCs w:val="24"/>
        </w:rPr>
      </w:pPr>
    </w:p>
    <w:p w14:paraId="237DDA53" w14:textId="77777777" w:rsid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Measures</w:t>
      </w:r>
    </w:p>
    <w:p w14:paraId="4D704CC3" w14:textId="77777777" w:rsidR="00916C80" w:rsidRPr="002D1216" w:rsidRDefault="00916C80" w:rsidP="002B0F75">
      <w:pPr>
        <w:spacing w:after="0" w:line="360" w:lineRule="auto"/>
        <w:rPr>
          <w:rFonts w:ascii="Cambria" w:eastAsia="Calibri" w:hAnsi="Cambria" w:cs="Calibri"/>
          <w:b/>
          <w:bCs/>
          <w:i/>
          <w:iCs/>
          <w:color w:val="000000"/>
          <w:sz w:val="24"/>
          <w:szCs w:val="24"/>
        </w:rPr>
      </w:pPr>
    </w:p>
    <w:p w14:paraId="2E2D7853" w14:textId="77777777" w:rsidR="002D1216" w:rsidRDefault="002D1216" w:rsidP="002B0F75">
      <w:pPr>
        <w:spacing w:after="0" w:line="360" w:lineRule="auto"/>
        <w:rPr>
          <w:rFonts w:ascii="Cambria" w:eastAsia="Calibri" w:hAnsi="Cambria" w:cs="Calibri"/>
          <w:color w:val="000000"/>
          <w:sz w:val="24"/>
          <w:szCs w:val="24"/>
        </w:rPr>
      </w:pPr>
      <w:bookmarkStart w:id="90" w:name="_Hlk149067793"/>
      <w:bookmarkStart w:id="91" w:name="_Hlk149066006"/>
      <w:bookmarkStart w:id="92" w:name="_Hlk158381365"/>
      <w:r w:rsidRPr="002D1216">
        <w:rPr>
          <w:rFonts w:ascii="Cambria" w:eastAsia="Calibri" w:hAnsi="Cambria" w:cs="Calibri"/>
          <w:i/>
          <w:iCs/>
          <w:color w:val="000000"/>
          <w:sz w:val="24"/>
          <w:szCs w:val="24"/>
        </w:rPr>
        <w:t>Childhood adversity:</w:t>
      </w:r>
      <w:r w:rsidRPr="002D1216">
        <w:rPr>
          <w:rFonts w:ascii="Cambria" w:eastAsia="Calibri" w:hAnsi="Cambria" w:cs="Calibri"/>
          <w:color w:val="000000"/>
          <w:sz w:val="24"/>
          <w:szCs w:val="24"/>
        </w:rPr>
        <w:t xml:space="preserve"> Within the MIDUS database, CA measures included the CTQ (11): 25 items about adverse experiences split into several categories (physical abuse, emotional abuse, sexual abuse, emotional neglect, physical neglect, minimization/denial) which comprise the 5 subscales of this measure. This was completed by participants at the biomarker collection stage. </w:t>
      </w:r>
      <w:bookmarkStart w:id="93" w:name="_Hlk148978565"/>
      <w:r w:rsidRPr="002D1216">
        <w:rPr>
          <w:rFonts w:ascii="Cambria" w:eastAsia="Calibri" w:hAnsi="Cambria" w:cs="Calibri"/>
          <w:color w:val="000000"/>
          <w:sz w:val="24"/>
          <w:szCs w:val="24"/>
        </w:rPr>
        <w:t>The scale ranged from 1 Never true to 5 Very often true. Unless otherwise indicated, scale scores were computed by summing across all items for which there were no missing data, with higher scores reflecting more experiences of trauma. Mean substitution was used in cases with only one missing value</w:t>
      </w:r>
      <w:bookmarkStart w:id="94" w:name="_Hlk150434067"/>
      <w:r w:rsidRPr="002D1216">
        <w:rPr>
          <w:rFonts w:ascii="Cambria" w:eastAsia="Calibri" w:hAnsi="Cambria" w:cs="Calibri"/>
          <w:color w:val="000000"/>
          <w:sz w:val="24"/>
          <w:szCs w:val="24"/>
        </w:rPr>
        <w:t xml:space="preserve">. </w:t>
      </w:r>
      <w:bookmarkStart w:id="95" w:name="_Hlk149296815"/>
      <w:r w:rsidRPr="002D1216">
        <w:rPr>
          <w:rFonts w:ascii="Cambria" w:eastAsia="Calibri" w:hAnsi="Cambria" w:cs="Calibri"/>
          <w:color w:val="000000"/>
          <w:sz w:val="24"/>
          <w:szCs w:val="24"/>
        </w:rPr>
        <w:t xml:space="preserve">For all subscales except Minimization/Denial, items marked with (R) were reverse-coded so that high scores reflect higher standing in the scale. </w:t>
      </w:r>
      <w:bookmarkStart w:id="96" w:name="_Hlk150434022"/>
      <w:bookmarkEnd w:id="95"/>
      <w:r w:rsidRPr="002D1216">
        <w:rPr>
          <w:rFonts w:ascii="Cambria" w:eastAsia="Calibri" w:hAnsi="Cambria" w:cs="Calibri"/>
          <w:color w:val="000000"/>
          <w:sz w:val="24"/>
          <w:szCs w:val="24"/>
        </w:rPr>
        <w:t>For Minimization/Denial, the responses were coded as follows: 5 was coded as 1, 1–4 were coded as 0.</w:t>
      </w:r>
      <w:bookmarkEnd w:id="96"/>
      <w:r w:rsidRPr="002D1216">
        <w:rPr>
          <w:rFonts w:ascii="Cambria" w:eastAsia="Calibri" w:hAnsi="Cambria" w:cs="Calibri"/>
          <w:color w:val="000000"/>
          <w:sz w:val="24"/>
          <w:szCs w:val="24"/>
        </w:rPr>
        <w:t xml:space="preserve"> </w:t>
      </w:r>
      <w:bookmarkEnd w:id="94"/>
      <w:r w:rsidRPr="002D1216">
        <w:rPr>
          <w:rFonts w:ascii="Cambria" w:eastAsia="Calibri" w:hAnsi="Cambria" w:cs="Calibri"/>
          <w:color w:val="000000"/>
          <w:sz w:val="24"/>
          <w:szCs w:val="24"/>
        </w:rPr>
        <w:t xml:space="preserve">This scoring reflected the tendency of the respondent to give exaggerated, desirable responses. The new scores were then added to derive the Minimization/Denial Scale Total Score. </w:t>
      </w:r>
      <w:bookmarkEnd w:id="90"/>
      <w:bookmarkEnd w:id="93"/>
    </w:p>
    <w:p w14:paraId="5B016EB3" w14:textId="77777777" w:rsidR="00916C80" w:rsidRPr="002D1216" w:rsidRDefault="00916C80" w:rsidP="002B0F75">
      <w:pPr>
        <w:spacing w:after="0" w:line="360" w:lineRule="auto"/>
        <w:rPr>
          <w:rFonts w:ascii="Cambria" w:eastAsia="Calibri" w:hAnsi="Cambria" w:cs="Calibri"/>
          <w:color w:val="000000"/>
          <w:sz w:val="24"/>
          <w:szCs w:val="24"/>
        </w:rPr>
      </w:pPr>
    </w:p>
    <w:p w14:paraId="216DC5AC" w14:textId="66B9277E" w:rsidR="002D1216" w:rsidRDefault="002D1216" w:rsidP="002B0F75">
      <w:pPr>
        <w:spacing w:after="0" w:line="360" w:lineRule="auto"/>
        <w:rPr>
          <w:rFonts w:ascii="Cambria" w:eastAsia="Calibri" w:hAnsi="Cambria" w:cs="Calibri"/>
          <w:color w:val="000000"/>
          <w:sz w:val="24"/>
          <w:szCs w:val="24"/>
        </w:rPr>
      </w:pPr>
      <w:bookmarkStart w:id="97" w:name="_Hlk150432580"/>
      <w:r w:rsidRPr="002D1216">
        <w:rPr>
          <w:rFonts w:ascii="Cambria" w:eastAsia="Calibri" w:hAnsi="Cambria" w:cs="Calibri"/>
          <w:color w:val="000000"/>
          <w:sz w:val="24"/>
          <w:szCs w:val="24"/>
        </w:rPr>
        <w:lastRenderedPageBreak/>
        <w:t>Although the name of the CTQ includes the term “trauma”, it does not refer to all experiences that necessarily qualify as “traumatic” (</w:t>
      </w:r>
      <w:r w:rsidR="00916C80">
        <w:rPr>
          <w:rFonts w:ascii="Cambria" w:eastAsia="Calibri" w:hAnsi="Cambria" w:cs="Calibri"/>
          <w:color w:val="000000"/>
          <w:sz w:val="24"/>
          <w:szCs w:val="24"/>
        </w:rPr>
        <w:t>Wente et al. 2023</w:t>
      </w:r>
      <w:r w:rsidRPr="002D1216">
        <w:rPr>
          <w:rFonts w:ascii="Cambria" w:eastAsia="Calibri" w:hAnsi="Cambria" w:cs="Calibri"/>
          <w:color w:val="000000"/>
          <w:sz w:val="24"/>
          <w:szCs w:val="24"/>
        </w:rPr>
        <w:t>). In order to avoid potential confusion and to consider the broadness and diversity of the ACEs concept, we referred to the experiences assessed by the CTQ as “childhood adversity” (CA), not ACEs or trauma exclusively.</w:t>
      </w:r>
    </w:p>
    <w:p w14:paraId="3A04368E" w14:textId="77777777" w:rsidR="00916C80" w:rsidRPr="002D1216" w:rsidRDefault="00916C80" w:rsidP="002B0F75">
      <w:pPr>
        <w:spacing w:after="0" w:line="360" w:lineRule="auto"/>
        <w:rPr>
          <w:rFonts w:ascii="Cambria" w:eastAsia="Calibri" w:hAnsi="Cambria" w:cs="Calibri"/>
          <w:color w:val="000000"/>
          <w:sz w:val="24"/>
          <w:szCs w:val="24"/>
        </w:rPr>
      </w:pPr>
    </w:p>
    <w:bookmarkEnd w:id="91"/>
    <w:bookmarkEnd w:id="97"/>
    <w:p w14:paraId="0B450FD6" w14:textId="682CEA95"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i/>
          <w:iCs/>
          <w:color w:val="000000"/>
          <w:sz w:val="24"/>
          <w:szCs w:val="24"/>
        </w:rPr>
        <w:t>Anxiety:</w:t>
      </w:r>
      <w:r w:rsidRPr="002D1216">
        <w:rPr>
          <w:rFonts w:ascii="Cambria" w:eastAsia="Calibri" w:hAnsi="Cambria" w:cs="Calibri"/>
          <w:color w:val="000000"/>
          <w:sz w:val="24"/>
          <w:szCs w:val="24"/>
        </w:rPr>
        <w:t xml:space="preserve"> Anxiety was captured with the </w:t>
      </w:r>
      <w:bookmarkStart w:id="98" w:name="_Hlk157353260"/>
      <w:r w:rsidRPr="002D1216">
        <w:rPr>
          <w:rFonts w:ascii="Cambria" w:eastAsia="Calibri" w:hAnsi="Cambria" w:cs="Calibri"/>
          <w:color w:val="000000"/>
          <w:sz w:val="24"/>
          <w:szCs w:val="24"/>
        </w:rPr>
        <w:t xml:space="preserve">State-Trait Anxiety Inventory </w:t>
      </w:r>
      <w:bookmarkEnd w:id="98"/>
      <w:r w:rsidRPr="002D1216">
        <w:rPr>
          <w:rFonts w:ascii="Cambria" w:eastAsia="Calibri" w:hAnsi="Cambria" w:cs="Calibri"/>
          <w:color w:val="000000"/>
          <w:sz w:val="24"/>
          <w:szCs w:val="24"/>
        </w:rPr>
        <w:t>Form Y (STAI), a comprehensive 20-item instrument for measuring anxiety in adults that differentiates between the temporary condition of “state anxiety” and the more general and long-standing quality of “trait anxiety.” The essential qualities evaluated by the STAI-S Anxiety scale are feelings of apprehension, tension, nervousness, and worry (</w:t>
      </w:r>
      <w:r w:rsidR="00916C80">
        <w:rPr>
          <w:rFonts w:ascii="Cambria" w:eastAsia="Calibri" w:hAnsi="Cambria" w:cs="Calibri"/>
          <w:color w:val="000000"/>
          <w:sz w:val="24"/>
          <w:szCs w:val="24"/>
        </w:rPr>
        <w:t>Spielberger et al. 1983</w:t>
      </w:r>
      <w:r w:rsidRPr="002D1216">
        <w:rPr>
          <w:rFonts w:ascii="Cambria" w:eastAsia="Calibri" w:hAnsi="Cambria" w:cs="Calibri"/>
          <w:color w:val="000000"/>
          <w:sz w:val="24"/>
          <w:szCs w:val="24"/>
        </w:rPr>
        <w:t xml:space="preserve">). </w:t>
      </w:r>
      <w:bookmarkStart w:id="99" w:name="_Hlk148978910"/>
      <w:r w:rsidRPr="002D1216">
        <w:rPr>
          <w:rFonts w:ascii="Cambria" w:eastAsia="Calibri" w:hAnsi="Cambria" w:cs="Calibri"/>
          <w:color w:val="000000"/>
          <w:sz w:val="24"/>
          <w:szCs w:val="24"/>
        </w:rPr>
        <w:t>Participants responded how each item applied to them by using a range from 1 Almost never to 4 Almost always, and scores were computed by summing across all items for which there was no missing data. Higher scores reflected a higher level of anxiety. Mean substitution was used in cases with only one missing value.</w:t>
      </w:r>
      <w:bookmarkEnd w:id="99"/>
    </w:p>
    <w:p w14:paraId="24077DE2" w14:textId="77777777" w:rsidR="00916C80" w:rsidRPr="002D1216" w:rsidRDefault="00916C80" w:rsidP="002B0F75">
      <w:pPr>
        <w:spacing w:after="0" w:line="360" w:lineRule="auto"/>
        <w:rPr>
          <w:rFonts w:ascii="Cambria" w:eastAsia="Calibri" w:hAnsi="Cambria" w:cs="Calibri"/>
          <w:color w:val="000000"/>
          <w:sz w:val="24"/>
          <w:szCs w:val="24"/>
        </w:rPr>
      </w:pPr>
    </w:p>
    <w:p w14:paraId="737D28A1" w14:textId="77777777" w:rsidR="002D1216" w:rsidRPr="002D1216" w:rsidRDefault="002D1216" w:rsidP="002B0F75">
      <w:pPr>
        <w:spacing w:after="0" w:line="360" w:lineRule="auto"/>
        <w:rPr>
          <w:rFonts w:ascii="Cambria" w:eastAsia="Calibri" w:hAnsi="Cambria" w:cs="Calibri"/>
          <w:color w:val="000000"/>
          <w:sz w:val="24"/>
          <w:szCs w:val="24"/>
        </w:rPr>
      </w:pPr>
      <w:bookmarkStart w:id="100" w:name="_Hlk149065793"/>
      <w:r w:rsidRPr="002D1216">
        <w:rPr>
          <w:rFonts w:ascii="Cambria" w:eastAsia="Calibri" w:hAnsi="Cambria" w:cs="Calibri"/>
          <w:i/>
          <w:iCs/>
          <w:color w:val="000000"/>
          <w:sz w:val="24"/>
          <w:szCs w:val="24"/>
        </w:rPr>
        <w:t>Pain</w:t>
      </w:r>
      <w:r w:rsidRPr="002D1216">
        <w:rPr>
          <w:rFonts w:ascii="Cambria" w:eastAsia="Calibri" w:hAnsi="Cambria" w:cs="Calibri"/>
          <w:color w:val="000000"/>
          <w:sz w:val="24"/>
          <w:szCs w:val="24"/>
        </w:rPr>
        <w:t xml:space="preserve">: Most of the pain-related information was captured via general questions about experiences with </w:t>
      </w:r>
      <w:bookmarkStart w:id="101" w:name="_Hlk149069169"/>
      <w:r w:rsidRPr="002D1216">
        <w:rPr>
          <w:rFonts w:ascii="Cambria" w:eastAsia="Calibri" w:hAnsi="Cambria" w:cs="Calibri"/>
          <w:color w:val="000000"/>
          <w:sz w:val="24"/>
          <w:szCs w:val="24"/>
        </w:rPr>
        <w:t>a range of different</w:t>
      </w:r>
      <w:bookmarkEnd w:id="101"/>
      <w:r w:rsidRPr="002D1216">
        <w:rPr>
          <w:rFonts w:ascii="Cambria" w:eastAsia="Calibri" w:hAnsi="Cambria" w:cs="Calibri"/>
          <w:color w:val="000000"/>
          <w:sz w:val="24"/>
          <w:szCs w:val="24"/>
        </w:rPr>
        <w:t xml:space="preserve"> chronic condition items rather than a pain specific measure or conditions. These condition-orientated questions did not always reflect a timepoint and hence would be more difficult to include as a sign of chronic pain. Consequently, the item: “Do you have chronic pain, that is do you have pain that persists beyond the time of normal healing and has lasted anywhere from a few months to many years?” was selected as the key item to reflect chronic pain. In addition, physician-diagnosed pain was also captured and used in the analyses (see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 xml:space="preserve">). Chronic pain was modelled as a binary variable that indicates whether the participant had or did not have chronic pain </w:t>
      </w:r>
      <w:bookmarkStart w:id="102" w:name="_Hlk148978173"/>
      <w:r w:rsidRPr="002D1216">
        <w:rPr>
          <w:rFonts w:ascii="Cambria" w:eastAsia="Calibri" w:hAnsi="Cambria" w:cs="Calibri"/>
          <w:color w:val="000000"/>
          <w:sz w:val="24"/>
          <w:szCs w:val="24"/>
        </w:rPr>
        <w:t>(1=yes, 0=no)</w:t>
      </w:r>
      <w:bookmarkEnd w:id="102"/>
      <w:r w:rsidRPr="002D1216">
        <w:rPr>
          <w:rFonts w:ascii="Cambria" w:eastAsia="Calibri" w:hAnsi="Cambria" w:cs="Calibri"/>
          <w:color w:val="000000"/>
          <w:sz w:val="24"/>
          <w:szCs w:val="24"/>
        </w:rPr>
        <w:t>. A person was considered to have chronic pain if they met any of the following criteria: 1) Had any valid chronic pain diagnostic (B1SA23A/B1SA23D); Reported zero time without feeling pain in the last month (B4Q10WW1); Saw a professional about chronic pain (BACAS22); Indicated having chronic pain (B1SA15/K2Q17/BACAS15/RA1SA15); or Physician diagnosed chronic back/neck problems (K2Q1XD).</w:t>
      </w:r>
    </w:p>
    <w:p w14:paraId="238CA8EB" w14:textId="7732566D" w:rsidR="002D1216" w:rsidRDefault="002D1216" w:rsidP="002B0F75">
      <w:pPr>
        <w:spacing w:after="0" w:line="360" w:lineRule="auto"/>
        <w:rPr>
          <w:rFonts w:ascii="Cambria" w:eastAsia="Calibri" w:hAnsi="Cambria" w:cs="Calibri"/>
          <w:color w:val="000000"/>
          <w:sz w:val="24"/>
          <w:szCs w:val="24"/>
        </w:rPr>
      </w:pPr>
      <w:bookmarkStart w:id="103" w:name="_Hlk149068308"/>
      <w:bookmarkEnd w:id="100"/>
      <w:r w:rsidRPr="002D1216">
        <w:rPr>
          <w:rFonts w:ascii="Cambria" w:eastAsia="Calibri" w:hAnsi="Cambria" w:cs="Calibri"/>
          <w:i/>
          <w:iCs/>
          <w:color w:val="000000"/>
          <w:sz w:val="24"/>
          <w:szCs w:val="24"/>
        </w:rPr>
        <w:lastRenderedPageBreak/>
        <w:t>CRP</w:t>
      </w:r>
      <w:r w:rsidRPr="002D1216">
        <w:rPr>
          <w:rFonts w:ascii="Cambria" w:eastAsia="Calibri" w:hAnsi="Cambria" w:cs="Calibri"/>
          <w:color w:val="000000"/>
          <w:sz w:val="24"/>
          <w:szCs w:val="24"/>
        </w:rPr>
        <w:t>: CRP was a continuous variable captured in ug/</w:t>
      </w:r>
      <w:proofErr w:type="spellStart"/>
      <w:r w:rsidRPr="002D1216">
        <w:rPr>
          <w:rFonts w:ascii="Cambria" w:eastAsia="Calibri" w:hAnsi="Cambria" w:cs="Calibri"/>
          <w:color w:val="000000"/>
          <w:sz w:val="24"/>
          <w:szCs w:val="24"/>
        </w:rPr>
        <w:t>mL.</w:t>
      </w:r>
      <w:proofErr w:type="spellEnd"/>
      <w:r w:rsidRPr="002D1216">
        <w:rPr>
          <w:rFonts w:ascii="Cambria" w:eastAsia="Calibri" w:hAnsi="Cambria" w:cs="Calibri"/>
          <w:color w:val="000000"/>
          <w:sz w:val="24"/>
          <w:szCs w:val="24"/>
        </w:rPr>
        <w:t xml:space="preserve"> The CRP bioassays were performed on blood samples (frozen serum and citrated plasma) at the Laboratory for Clinical Biochemistry Research (University of Vermont, Burlington, VT) using the BNII nephelometer from Dade Behring utilizing a particle enhanced </w:t>
      </w:r>
      <w:proofErr w:type="spellStart"/>
      <w:r w:rsidRPr="002D1216">
        <w:rPr>
          <w:rFonts w:ascii="Cambria" w:eastAsia="Calibri" w:hAnsi="Cambria" w:cs="Calibri"/>
          <w:color w:val="000000"/>
          <w:sz w:val="24"/>
          <w:szCs w:val="24"/>
        </w:rPr>
        <w:t>immunonepholometric</w:t>
      </w:r>
      <w:proofErr w:type="spellEnd"/>
      <w:r w:rsidRPr="002D1216">
        <w:rPr>
          <w:rFonts w:ascii="Cambria" w:eastAsia="Calibri" w:hAnsi="Cambria" w:cs="Calibri"/>
          <w:color w:val="000000"/>
          <w:sz w:val="24"/>
          <w:szCs w:val="24"/>
        </w:rPr>
        <w:t xml:space="preserve"> assay. Polystyrene particles were coated with monoclonal antibodies to CRP, which, in the presence of antigen (CRP) agglutinate causes an increase in the intensity of scattered light. The increase in scattered light is proportional to the amount of CRP in the sample (</w:t>
      </w:r>
      <w:r w:rsidR="00916C80">
        <w:rPr>
          <w:rFonts w:ascii="Cambria" w:eastAsia="Calibri" w:hAnsi="Cambria" w:cs="Calibri"/>
          <w:color w:val="000000"/>
          <w:sz w:val="24"/>
          <w:szCs w:val="24"/>
        </w:rPr>
        <w:t>Tracy Lab 2009</w:t>
      </w:r>
      <w:r w:rsidRPr="002D1216">
        <w:rPr>
          <w:rFonts w:ascii="Cambria" w:eastAsia="Calibri" w:hAnsi="Cambria" w:cs="Calibri"/>
          <w:color w:val="000000"/>
          <w:sz w:val="24"/>
          <w:szCs w:val="24"/>
        </w:rPr>
        <w:t xml:space="preserve">). At biomarker collection, 12-hour urine sample and fasting blood samples were collected from each participant after an overnight stay at the research site, and to ensure consistency, all samples were collected and processed using standardized procedures and then fresh and frozen samples were shipped to the MIDUS </w:t>
      </w:r>
      <w:proofErr w:type="spellStart"/>
      <w:r w:rsidRPr="002D1216">
        <w:rPr>
          <w:rFonts w:ascii="Cambria" w:eastAsia="Calibri" w:hAnsi="Cambria" w:cs="Calibri"/>
          <w:color w:val="000000"/>
          <w:sz w:val="24"/>
          <w:szCs w:val="24"/>
        </w:rPr>
        <w:t>Biocore</w:t>
      </w:r>
      <w:proofErr w:type="spellEnd"/>
      <w:r w:rsidRPr="002D1216">
        <w:rPr>
          <w:rFonts w:ascii="Cambria" w:eastAsia="Calibri" w:hAnsi="Cambria" w:cs="Calibri"/>
          <w:color w:val="000000"/>
          <w:sz w:val="24"/>
          <w:szCs w:val="24"/>
        </w:rPr>
        <w:t xml:space="preserve"> Lab for assay. Any samples falling below the assay range for CRP were re-assayed by </w:t>
      </w:r>
      <w:proofErr w:type="spellStart"/>
      <w:r w:rsidRPr="002D1216">
        <w:rPr>
          <w:rFonts w:ascii="Cambria" w:eastAsia="Calibri" w:hAnsi="Cambria" w:cs="Calibri"/>
          <w:color w:val="000000"/>
          <w:sz w:val="24"/>
          <w:szCs w:val="24"/>
        </w:rPr>
        <w:t>immunoelectrochemiluminescence</w:t>
      </w:r>
      <w:proofErr w:type="spellEnd"/>
      <w:r w:rsidRPr="002D1216">
        <w:rPr>
          <w:rFonts w:ascii="Cambria" w:eastAsia="Calibri" w:hAnsi="Cambria" w:cs="Calibri"/>
          <w:color w:val="000000"/>
          <w:sz w:val="24"/>
          <w:szCs w:val="24"/>
        </w:rPr>
        <w:t xml:space="preserve"> using a high-sensitivity assay kit (</w:t>
      </w:r>
      <w:proofErr w:type="spellStart"/>
      <w:r w:rsidRPr="002D1216">
        <w:rPr>
          <w:rFonts w:ascii="Cambria" w:eastAsia="Calibri" w:hAnsi="Cambria" w:cs="Calibri"/>
          <w:color w:val="000000"/>
          <w:sz w:val="24"/>
          <w:szCs w:val="24"/>
        </w:rPr>
        <w:t>Meso</w:t>
      </w:r>
      <w:proofErr w:type="spellEnd"/>
      <w:r w:rsidRPr="002D1216">
        <w:rPr>
          <w:rFonts w:ascii="Cambria" w:eastAsia="Calibri" w:hAnsi="Cambria" w:cs="Calibri"/>
          <w:color w:val="000000"/>
          <w:sz w:val="24"/>
          <w:szCs w:val="24"/>
        </w:rPr>
        <w:t xml:space="preserve"> Scale Diagnostics #K151STG) (</w:t>
      </w:r>
      <w:r w:rsidR="00916C80">
        <w:rPr>
          <w:rFonts w:ascii="Cambria" w:eastAsia="Calibri" w:hAnsi="Cambria" w:cs="Calibri"/>
          <w:color w:val="000000"/>
          <w:sz w:val="24"/>
          <w:szCs w:val="24"/>
        </w:rPr>
        <w:t>MSD PI 2014</w:t>
      </w:r>
      <w:r w:rsidRPr="002D1216">
        <w:rPr>
          <w:rFonts w:ascii="Cambria" w:eastAsia="Calibri" w:hAnsi="Cambria" w:cs="Calibri"/>
          <w:color w:val="000000"/>
          <w:sz w:val="24"/>
          <w:szCs w:val="24"/>
        </w:rPr>
        <w:t>). For citrated plasma, the assay range was 0.175–1100 ug/mL (inter-assay variability: 2.1–5.7%; reference range: ≤3 ug/mL), and for serum the assay range was 0.014–216ug/mL (inter-assay variability: 4.72–5.16%; reference range: &lt;3 ug/mL). The coefficients of variance for all CRP assays were in acceptable ranges (&lt;10%). While CRP values in excess of 10 mg/L are thought to indicate acute infectious illness (</w:t>
      </w:r>
      <w:r w:rsidR="00916C80">
        <w:rPr>
          <w:rFonts w:ascii="Cambria" w:eastAsia="Calibri" w:hAnsi="Cambria" w:cs="Calibri"/>
          <w:color w:val="000000"/>
          <w:sz w:val="24"/>
          <w:szCs w:val="24"/>
        </w:rPr>
        <w:t>Nehring et al. 2023</w:t>
      </w:r>
      <w:r w:rsidRPr="002D1216">
        <w:rPr>
          <w:rFonts w:ascii="Cambria" w:eastAsia="Calibri" w:hAnsi="Cambria" w:cs="Calibri"/>
          <w:color w:val="000000"/>
          <w:sz w:val="24"/>
          <w:szCs w:val="24"/>
        </w:rPr>
        <w:t>), CRP has gained traction in the last decade to be examined as a potential biomarker for chronic pain (</w:t>
      </w:r>
      <w:r w:rsidR="00A70646">
        <w:rPr>
          <w:rFonts w:ascii="Cambria" w:eastAsia="Calibri" w:hAnsi="Cambria" w:cs="Calibri"/>
          <w:color w:val="000000"/>
          <w:sz w:val="24"/>
          <w:szCs w:val="24"/>
        </w:rPr>
        <w:t>Afari et al. 2011; Morris et al. 2020</w:t>
      </w:r>
      <w:r w:rsidRPr="002D1216">
        <w:rPr>
          <w:rFonts w:ascii="Cambria" w:eastAsia="Calibri" w:hAnsi="Cambria" w:cs="Calibri"/>
          <w:color w:val="000000"/>
          <w:sz w:val="24"/>
          <w:szCs w:val="24"/>
        </w:rPr>
        <w:t xml:space="preserve">). Since our study involves both chronic pain whether generally self-reported (and/or defined by a particular pain disease, potentially), </w:t>
      </w:r>
      <w:bookmarkStart w:id="104" w:name="_Hlk150432835"/>
      <w:r w:rsidRPr="002D1216">
        <w:rPr>
          <w:rFonts w:ascii="Cambria" w:eastAsia="Calibri" w:hAnsi="Cambria" w:cs="Calibri"/>
          <w:color w:val="000000"/>
          <w:sz w:val="24"/>
          <w:szCs w:val="24"/>
        </w:rPr>
        <w:t xml:space="preserve">we did not feel it would be appropriate to exclude the cases over 10 mg/L as they may have been due to acute infection but importantly may also have been confounded by cooccurring with chronic pain. </w:t>
      </w:r>
      <w:bookmarkEnd w:id="92"/>
      <w:bookmarkEnd w:id="103"/>
      <w:bookmarkEnd w:id="104"/>
    </w:p>
    <w:p w14:paraId="7773CFF7" w14:textId="77777777" w:rsidR="00916C80" w:rsidRPr="002D1216" w:rsidRDefault="00916C80" w:rsidP="002B0F75">
      <w:pPr>
        <w:spacing w:after="0" w:line="360" w:lineRule="auto"/>
        <w:rPr>
          <w:rFonts w:ascii="Cambria" w:eastAsia="Calibri" w:hAnsi="Cambria" w:cs="Calibri"/>
          <w:color w:val="000000"/>
          <w:sz w:val="24"/>
          <w:szCs w:val="24"/>
        </w:rPr>
      </w:pPr>
    </w:p>
    <w:p w14:paraId="6638FFBC"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Socio-demographics were of interest as potential confounders and were included as additional control variables in the regression. Ethical approval for this study was provided by the General University Ethics Panel, University of Stirling, Stirling, UK (#GUEP 2023 13945 9460).</w:t>
      </w:r>
    </w:p>
    <w:p w14:paraId="5333C96A" w14:textId="77777777" w:rsidR="00916C80" w:rsidRPr="002D1216" w:rsidRDefault="00916C80" w:rsidP="002B0F75">
      <w:pPr>
        <w:spacing w:after="0" w:line="360" w:lineRule="auto"/>
        <w:rPr>
          <w:rFonts w:ascii="Cambria" w:eastAsia="Calibri" w:hAnsi="Cambria" w:cs="Calibri"/>
          <w:color w:val="000000"/>
          <w:sz w:val="24"/>
          <w:szCs w:val="24"/>
        </w:rPr>
      </w:pPr>
    </w:p>
    <w:p w14:paraId="33B7AA43" w14:textId="77777777" w:rsidR="002D1216" w:rsidRP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Variables</w:t>
      </w:r>
    </w:p>
    <w:p w14:paraId="280B9373"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For the primary objectives of the study, the specific MIDUS variables of interest or analyses are the different measures of CAs, anxiety, pain, and CRP. These are shown in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w:t>
      </w:r>
    </w:p>
    <w:p w14:paraId="79EAF5F1" w14:textId="77777777" w:rsidR="00A70646" w:rsidRPr="002D1216" w:rsidRDefault="00A70646" w:rsidP="002B0F75">
      <w:pPr>
        <w:spacing w:after="0" w:line="360" w:lineRule="auto"/>
        <w:rPr>
          <w:rFonts w:ascii="Cambria" w:eastAsia="Calibri" w:hAnsi="Cambria" w:cs="Calibri"/>
          <w:color w:val="000000"/>
          <w:sz w:val="24"/>
          <w:szCs w:val="24"/>
        </w:rPr>
      </w:pPr>
    </w:p>
    <w:p w14:paraId="5F2464B6"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Table 1. MIDUS variables</w:t>
      </w:r>
    </w:p>
    <w:tbl>
      <w:tblPr>
        <w:tblW w:w="8817" w:type="dxa"/>
        <w:shd w:val="clear" w:color="auto" w:fill="FFFFFF"/>
        <w:tblCellMar>
          <w:top w:w="15" w:type="dxa"/>
          <w:left w:w="15" w:type="dxa"/>
          <w:bottom w:w="15" w:type="dxa"/>
          <w:right w:w="15" w:type="dxa"/>
        </w:tblCellMar>
        <w:tblLook w:val="04A0" w:firstRow="1" w:lastRow="0" w:firstColumn="1" w:lastColumn="0" w:noHBand="0" w:noVBand="1"/>
      </w:tblPr>
      <w:tblGrid>
        <w:gridCol w:w="2170"/>
        <w:gridCol w:w="6647"/>
      </w:tblGrid>
      <w:tr w:rsidR="002D1216" w:rsidRPr="002D1216" w14:paraId="35612A01" w14:textId="77777777" w:rsidTr="00FE3472">
        <w:trPr>
          <w:trHeight w:val="142"/>
        </w:trPr>
        <w:tc>
          <w:tcPr>
            <w:tcW w:w="0" w:type="auto"/>
            <w:tcBorders>
              <w:top w:val="single" w:sz="2" w:space="0" w:color="auto"/>
              <w:bottom w:val="single" w:sz="2" w:space="0" w:color="auto"/>
            </w:tcBorders>
            <w:tcMar>
              <w:top w:w="60" w:type="dxa"/>
              <w:left w:w="60" w:type="dxa"/>
              <w:bottom w:w="60" w:type="dxa"/>
              <w:right w:w="60" w:type="dxa"/>
            </w:tcMar>
            <w:vAlign w:val="center"/>
          </w:tcPr>
          <w:p w14:paraId="12389454"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ID</w:t>
            </w:r>
          </w:p>
        </w:tc>
        <w:tc>
          <w:tcPr>
            <w:tcW w:w="6986" w:type="dxa"/>
            <w:tcBorders>
              <w:top w:val="single" w:sz="2" w:space="0" w:color="auto"/>
              <w:bottom w:val="single" w:sz="2" w:space="0" w:color="auto"/>
            </w:tcBorders>
            <w:tcMar>
              <w:top w:w="60" w:type="dxa"/>
              <w:left w:w="60" w:type="dxa"/>
              <w:bottom w:w="60" w:type="dxa"/>
              <w:right w:w="60" w:type="dxa"/>
            </w:tcMar>
            <w:vAlign w:val="center"/>
          </w:tcPr>
          <w:p w14:paraId="1F9F17CF"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Variable</w:t>
            </w:r>
          </w:p>
        </w:tc>
      </w:tr>
      <w:tr w:rsidR="002D1216" w:rsidRPr="002D1216" w14:paraId="579DFC1F" w14:textId="77777777" w:rsidTr="00FE3472">
        <w:trPr>
          <w:trHeight w:val="313"/>
        </w:trPr>
        <w:tc>
          <w:tcPr>
            <w:tcW w:w="8817" w:type="dxa"/>
            <w:gridSpan w:val="2"/>
            <w:tcBorders>
              <w:top w:val="single" w:sz="2" w:space="0" w:color="auto"/>
            </w:tcBorders>
            <w:shd w:val="clear" w:color="auto" w:fill="E7E6E6" w:themeFill="background2"/>
            <w:tcMar>
              <w:top w:w="60" w:type="dxa"/>
              <w:left w:w="60" w:type="dxa"/>
              <w:bottom w:w="60" w:type="dxa"/>
              <w:right w:w="60" w:type="dxa"/>
            </w:tcMar>
            <w:vAlign w:val="center"/>
          </w:tcPr>
          <w:p w14:paraId="6B953EFA"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Childhood adversity</w:t>
            </w:r>
          </w:p>
        </w:tc>
      </w:tr>
      <w:tr w:rsidR="002D1216" w:rsidRPr="002D1216" w14:paraId="1494842E" w14:textId="77777777" w:rsidTr="00FE3472">
        <w:tc>
          <w:tcPr>
            <w:tcW w:w="0" w:type="auto"/>
            <w:shd w:val="clear" w:color="auto" w:fill="FFFFFF" w:themeFill="background1"/>
            <w:tcMar>
              <w:top w:w="60" w:type="dxa"/>
              <w:left w:w="60" w:type="dxa"/>
              <w:bottom w:w="60" w:type="dxa"/>
              <w:right w:w="60" w:type="dxa"/>
            </w:tcMar>
            <w:vAlign w:val="center"/>
            <w:hideMark/>
          </w:tcPr>
          <w:p w14:paraId="62DE227A" w14:textId="77777777" w:rsidR="002D1216" w:rsidRPr="002D1216" w:rsidRDefault="002D1216" w:rsidP="002B0F75">
            <w:pPr>
              <w:spacing w:after="0" w:line="360" w:lineRule="auto"/>
              <w:rPr>
                <w:rFonts w:ascii="Cambria" w:eastAsia="Calibri" w:hAnsi="Cambria" w:cs="Calibri"/>
                <w:color w:val="000000"/>
                <w:sz w:val="24"/>
                <w:szCs w:val="24"/>
              </w:rPr>
            </w:pPr>
            <w:hyperlink r:id="rId95" w:history="1">
              <w:r w:rsidRPr="002D1216">
                <w:rPr>
                  <w:rStyle w:val="Hyperlink"/>
                  <w:rFonts w:ascii="Cambria" w:eastAsia="Calibri" w:hAnsi="Cambria" w:cs="Calibri"/>
                  <w:sz w:val="24"/>
                  <w:szCs w:val="24"/>
                </w:rPr>
                <w:t>B4QCT_EA</w:t>
              </w:r>
            </w:hyperlink>
          </w:p>
        </w:tc>
        <w:tc>
          <w:tcPr>
            <w:tcW w:w="6986" w:type="dxa"/>
            <w:shd w:val="clear" w:color="auto" w:fill="FFFFFF" w:themeFill="background1"/>
            <w:tcMar>
              <w:top w:w="60" w:type="dxa"/>
              <w:left w:w="60" w:type="dxa"/>
              <w:bottom w:w="60" w:type="dxa"/>
              <w:right w:w="60" w:type="dxa"/>
            </w:tcMar>
            <w:vAlign w:val="center"/>
            <w:hideMark/>
          </w:tcPr>
          <w:p w14:paraId="7EDD8DC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CTQ: Emotional Abuse</w:t>
            </w:r>
          </w:p>
        </w:tc>
      </w:tr>
      <w:tr w:rsidR="002D1216" w:rsidRPr="002D1216" w14:paraId="45A748C6" w14:textId="77777777" w:rsidTr="00FE3472">
        <w:tc>
          <w:tcPr>
            <w:tcW w:w="0" w:type="auto"/>
            <w:shd w:val="clear" w:color="auto" w:fill="FFFFFF" w:themeFill="background1"/>
            <w:tcMar>
              <w:top w:w="60" w:type="dxa"/>
              <w:left w:w="60" w:type="dxa"/>
              <w:bottom w:w="60" w:type="dxa"/>
              <w:right w:w="60" w:type="dxa"/>
            </w:tcMar>
            <w:vAlign w:val="center"/>
            <w:hideMark/>
          </w:tcPr>
          <w:p w14:paraId="209F8273" w14:textId="77777777" w:rsidR="002D1216" w:rsidRPr="002D1216" w:rsidRDefault="002D1216" w:rsidP="002B0F75">
            <w:pPr>
              <w:spacing w:after="0" w:line="360" w:lineRule="auto"/>
              <w:rPr>
                <w:rFonts w:ascii="Cambria" w:eastAsia="Calibri" w:hAnsi="Cambria" w:cs="Calibri"/>
                <w:color w:val="000000"/>
                <w:sz w:val="24"/>
                <w:szCs w:val="24"/>
              </w:rPr>
            </w:pPr>
            <w:hyperlink r:id="rId96" w:history="1">
              <w:r w:rsidRPr="002D1216">
                <w:rPr>
                  <w:rStyle w:val="Hyperlink"/>
                  <w:rFonts w:ascii="Cambria" w:eastAsia="Calibri" w:hAnsi="Cambria" w:cs="Calibri"/>
                  <w:sz w:val="24"/>
                  <w:szCs w:val="24"/>
                </w:rPr>
                <w:t>B4QCT_PA</w:t>
              </w:r>
            </w:hyperlink>
          </w:p>
        </w:tc>
        <w:tc>
          <w:tcPr>
            <w:tcW w:w="6986" w:type="dxa"/>
            <w:shd w:val="clear" w:color="auto" w:fill="FFFFFF" w:themeFill="background1"/>
            <w:tcMar>
              <w:top w:w="60" w:type="dxa"/>
              <w:left w:w="60" w:type="dxa"/>
              <w:bottom w:w="60" w:type="dxa"/>
              <w:right w:w="60" w:type="dxa"/>
            </w:tcMar>
            <w:vAlign w:val="center"/>
            <w:hideMark/>
          </w:tcPr>
          <w:p w14:paraId="225C2FE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CTQ: Physical Abuse</w:t>
            </w:r>
          </w:p>
        </w:tc>
      </w:tr>
      <w:tr w:rsidR="002D1216" w:rsidRPr="002D1216" w14:paraId="70B6039A" w14:textId="77777777" w:rsidTr="00FE3472">
        <w:tc>
          <w:tcPr>
            <w:tcW w:w="0" w:type="auto"/>
            <w:shd w:val="clear" w:color="auto" w:fill="FFFFFF" w:themeFill="background1"/>
            <w:tcMar>
              <w:top w:w="60" w:type="dxa"/>
              <w:left w:w="60" w:type="dxa"/>
              <w:bottom w:w="60" w:type="dxa"/>
              <w:right w:w="60" w:type="dxa"/>
            </w:tcMar>
            <w:vAlign w:val="center"/>
            <w:hideMark/>
          </w:tcPr>
          <w:p w14:paraId="3D9FBE2E" w14:textId="77777777" w:rsidR="002D1216" w:rsidRPr="002D1216" w:rsidRDefault="002D1216" w:rsidP="002B0F75">
            <w:pPr>
              <w:spacing w:after="0" w:line="360" w:lineRule="auto"/>
              <w:rPr>
                <w:rFonts w:ascii="Cambria" w:eastAsia="Calibri" w:hAnsi="Cambria" w:cs="Calibri"/>
                <w:color w:val="000000"/>
                <w:sz w:val="24"/>
                <w:szCs w:val="24"/>
              </w:rPr>
            </w:pPr>
            <w:hyperlink r:id="rId97" w:history="1">
              <w:r w:rsidRPr="002D1216">
                <w:rPr>
                  <w:rStyle w:val="Hyperlink"/>
                  <w:rFonts w:ascii="Cambria" w:eastAsia="Calibri" w:hAnsi="Cambria" w:cs="Calibri"/>
                  <w:sz w:val="24"/>
                  <w:szCs w:val="24"/>
                </w:rPr>
                <w:t>B4QCT_SA</w:t>
              </w:r>
            </w:hyperlink>
          </w:p>
        </w:tc>
        <w:tc>
          <w:tcPr>
            <w:tcW w:w="6986" w:type="dxa"/>
            <w:shd w:val="clear" w:color="auto" w:fill="FFFFFF" w:themeFill="background1"/>
            <w:tcMar>
              <w:top w:w="60" w:type="dxa"/>
              <w:left w:w="60" w:type="dxa"/>
              <w:bottom w:w="60" w:type="dxa"/>
              <w:right w:w="60" w:type="dxa"/>
            </w:tcMar>
            <w:vAlign w:val="center"/>
            <w:hideMark/>
          </w:tcPr>
          <w:p w14:paraId="344FB3E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CTQ: Sexual Abuse</w:t>
            </w:r>
          </w:p>
        </w:tc>
      </w:tr>
      <w:tr w:rsidR="002D1216" w:rsidRPr="002D1216" w14:paraId="3E309CC4" w14:textId="77777777" w:rsidTr="00FE3472">
        <w:tc>
          <w:tcPr>
            <w:tcW w:w="0" w:type="auto"/>
            <w:shd w:val="clear" w:color="auto" w:fill="FFFFFF" w:themeFill="background1"/>
            <w:tcMar>
              <w:top w:w="60" w:type="dxa"/>
              <w:left w:w="60" w:type="dxa"/>
              <w:bottom w:w="60" w:type="dxa"/>
              <w:right w:w="60" w:type="dxa"/>
            </w:tcMar>
            <w:vAlign w:val="center"/>
            <w:hideMark/>
          </w:tcPr>
          <w:p w14:paraId="11B524DB" w14:textId="77777777" w:rsidR="002D1216" w:rsidRPr="002D1216" w:rsidRDefault="002D1216" w:rsidP="002B0F75">
            <w:pPr>
              <w:spacing w:after="0" w:line="360" w:lineRule="auto"/>
              <w:rPr>
                <w:rFonts w:ascii="Cambria" w:eastAsia="Calibri" w:hAnsi="Cambria" w:cs="Calibri"/>
                <w:color w:val="000000"/>
                <w:sz w:val="24"/>
                <w:szCs w:val="24"/>
              </w:rPr>
            </w:pPr>
            <w:hyperlink r:id="rId98" w:history="1">
              <w:r w:rsidRPr="002D1216">
                <w:rPr>
                  <w:rStyle w:val="Hyperlink"/>
                  <w:rFonts w:ascii="Cambria" w:eastAsia="Calibri" w:hAnsi="Cambria" w:cs="Calibri"/>
                  <w:sz w:val="24"/>
                  <w:szCs w:val="24"/>
                </w:rPr>
                <w:t>B4QCT_EN</w:t>
              </w:r>
            </w:hyperlink>
          </w:p>
        </w:tc>
        <w:tc>
          <w:tcPr>
            <w:tcW w:w="6986" w:type="dxa"/>
            <w:shd w:val="clear" w:color="auto" w:fill="FFFFFF" w:themeFill="background1"/>
            <w:tcMar>
              <w:top w:w="60" w:type="dxa"/>
              <w:left w:w="60" w:type="dxa"/>
              <w:bottom w:w="60" w:type="dxa"/>
              <w:right w:w="60" w:type="dxa"/>
            </w:tcMar>
            <w:vAlign w:val="center"/>
            <w:hideMark/>
          </w:tcPr>
          <w:p w14:paraId="6D53AD6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CTQ: Emotional Neglect</w:t>
            </w:r>
          </w:p>
        </w:tc>
      </w:tr>
      <w:tr w:rsidR="002D1216" w:rsidRPr="002D1216" w14:paraId="69388631" w14:textId="77777777" w:rsidTr="00FE3472">
        <w:tc>
          <w:tcPr>
            <w:tcW w:w="0" w:type="auto"/>
            <w:shd w:val="clear" w:color="auto" w:fill="FFFFFF" w:themeFill="background1"/>
            <w:tcMar>
              <w:top w:w="60" w:type="dxa"/>
              <w:left w:w="60" w:type="dxa"/>
              <w:bottom w:w="60" w:type="dxa"/>
              <w:right w:w="60" w:type="dxa"/>
            </w:tcMar>
            <w:vAlign w:val="center"/>
            <w:hideMark/>
          </w:tcPr>
          <w:p w14:paraId="69FADC59" w14:textId="77777777" w:rsidR="002D1216" w:rsidRPr="002D1216" w:rsidRDefault="002D1216" w:rsidP="002B0F75">
            <w:pPr>
              <w:spacing w:after="0" w:line="360" w:lineRule="auto"/>
              <w:rPr>
                <w:rFonts w:ascii="Cambria" w:eastAsia="Calibri" w:hAnsi="Cambria" w:cs="Calibri"/>
                <w:color w:val="000000"/>
                <w:sz w:val="24"/>
                <w:szCs w:val="24"/>
              </w:rPr>
            </w:pPr>
            <w:hyperlink r:id="rId99" w:history="1">
              <w:r w:rsidRPr="002D1216">
                <w:rPr>
                  <w:rStyle w:val="Hyperlink"/>
                  <w:rFonts w:ascii="Cambria" w:eastAsia="Calibri" w:hAnsi="Cambria" w:cs="Calibri"/>
                  <w:sz w:val="24"/>
                  <w:szCs w:val="24"/>
                </w:rPr>
                <w:t>B4QCT_PN</w:t>
              </w:r>
            </w:hyperlink>
          </w:p>
        </w:tc>
        <w:tc>
          <w:tcPr>
            <w:tcW w:w="6986" w:type="dxa"/>
            <w:shd w:val="clear" w:color="auto" w:fill="FFFFFF" w:themeFill="background1"/>
            <w:tcMar>
              <w:top w:w="60" w:type="dxa"/>
              <w:left w:w="60" w:type="dxa"/>
              <w:bottom w:w="60" w:type="dxa"/>
              <w:right w:w="60" w:type="dxa"/>
            </w:tcMar>
            <w:vAlign w:val="center"/>
            <w:hideMark/>
          </w:tcPr>
          <w:p w14:paraId="57E437A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CTQ: Physical Neglect</w:t>
            </w:r>
          </w:p>
        </w:tc>
      </w:tr>
      <w:tr w:rsidR="002D1216" w:rsidRPr="002D1216" w14:paraId="64F9C30A" w14:textId="77777777" w:rsidTr="00FE3472">
        <w:tc>
          <w:tcPr>
            <w:tcW w:w="0" w:type="auto"/>
            <w:shd w:val="clear" w:color="auto" w:fill="FFFFFF" w:themeFill="background1"/>
            <w:tcMar>
              <w:top w:w="60" w:type="dxa"/>
              <w:left w:w="60" w:type="dxa"/>
              <w:bottom w:w="60" w:type="dxa"/>
              <w:right w:w="60" w:type="dxa"/>
            </w:tcMar>
            <w:vAlign w:val="center"/>
            <w:hideMark/>
          </w:tcPr>
          <w:p w14:paraId="3880F54B" w14:textId="77777777" w:rsidR="002D1216" w:rsidRPr="002D1216" w:rsidRDefault="002D1216" w:rsidP="002B0F75">
            <w:pPr>
              <w:spacing w:after="0" w:line="360" w:lineRule="auto"/>
              <w:rPr>
                <w:rFonts w:ascii="Cambria" w:eastAsia="Calibri" w:hAnsi="Cambria" w:cs="Calibri"/>
                <w:color w:val="000000"/>
                <w:sz w:val="24"/>
                <w:szCs w:val="24"/>
              </w:rPr>
            </w:pPr>
            <w:hyperlink r:id="rId100" w:history="1">
              <w:r w:rsidRPr="002D1216">
                <w:rPr>
                  <w:rStyle w:val="Hyperlink"/>
                  <w:rFonts w:ascii="Cambria" w:eastAsia="Calibri" w:hAnsi="Cambria" w:cs="Calibri"/>
                  <w:sz w:val="24"/>
                  <w:szCs w:val="24"/>
                </w:rPr>
                <w:t>B4QCT_MD</w:t>
              </w:r>
            </w:hyperlink>
          </w:p>
        </w:tc>
        <w:tc>
          <w:tcPr>
            <w:tcW w:w="6986" w:type="dxa"/>
            <w:shd w:val="clear" w:color="auto" w:fill="FFFFFF" w:themeFill="background1"/>
            <w:tcMar>
              <w:top w:w="60" w:type="dxa"/>
              <w:left w:w="60" w:type="dxa"/>
              <w:bottom w:w="60" w:type="dxa"/>
              <w:right w:w="60" w:type="dxa"/>
            </w:tcMar>
            <w:vAlign w:val="center"/>
            <w:hideMark/>
          </w:tcPr>
          <w:p w14:paraId="464F22E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CTQ: Minimization/Denial</w:t>
            </w:r>
          </w:p>
        </w:tc>
      </w:tr>
      <w:tr w:rsidR="002D1216" w:rsidRPr="002D1216" w14:paraId="3D99013B" w14:textId="77777777" w:rsidTr="00FE3472">
        <w:tc>
          <w:tcPr>
            <w:tcW w:w="8817" w:type="dxa"/>
            <w:gridSpan w:val="2"/>
            <w:shd w:val="clear" w:color="auto" w:fill="E7E6E6" w:themeFill="background2"/>
            <w:tcMar>
              <w:top w:w="60" w:type="dxa"/>
              <w:left w:w="60" w:type="dxa"/>
              <w:bottom w:w="60" w:type="dxa"/>
              <w:right w:w="60" w:type="dxa"/>
            </w:tcMar>
            <w:vAlign w:val="center"/>
          </w:tcPr>
          <w:p w14:paraId="5CBC446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Anxiety</w:t>
            </w:r>
          </w:p>
        </w:tc>
      </w:tr>
      <w:tr w:rsidR="002D1216" w:rsidRPr="002D1216" w14:paraId="143858A4" w14:textId="77777777" w:rsidTr="00FE3472">
        <w:tc>
          <w:tcPr>
            <w:tcW w:w="0" w:type="auto"/>
            <w:shd w:val="clear" w:color="auto" w:fill="FFFFFF" w:themeFill="background1"/>
            <w:tcMar>
              <w:top w:w="60" w:type="dxa"/>
              <w:left w:w="60" w:type="dxa"/>
              <w:bottom w:w="60" w:type="dxa"/>
              <w:right w:w="60" w:type="dxa"/>
            </w:tcMar>
            <w:vAlign w:val="center"/>
          </w:tcPr>
          <w:p w14:paraId="31D0F7CC" w14:textId="77777777" w:rsidR="002D1216" w:rsidRPr="002D1216" w:rsidRDefault="002D1216" w:rsidP="002B0F75">
            <w:pPr>
              <w:spacing w:after="0" w:line="360" w:lineRule="auto"/>
              <w:rPr>
                <w:rFonts w:ascii="Cambria" w:eastAsia="Calibri" w:hAnsi="Cambria" w:cs="Calibri"/>
                <w:color w:val="000000"/>
                <w:sz w:val="24"/>
                <w:szCs w:val="24"/>
              </w:rPr>
            </w:pPr>
            <w:hyperlink r:id="rId101" w:history="1">
              <w:r w:rsidRPr="002D1216">
                <w:rPr>
                  <w:rStyle w:val="Hyperlink"/>
                  <w:rFonts w:ascii="Cambria" w:eastAsia="Calibri" w:hAnsi="Cambria" w:cs="Calibri"/>
                  <w:sz w:val="24"/>
                  <w:szCs w:val="24"/>
                </w:rPr>
                <w:t>B4QTA_AX</w:t>
              </w:r>
            </w:hyperlink>
          </w:p>
        </w:tc>
        <w:tc>
          <w:tcPr>
            <w:tcW w:w="6986" w:type="dxa"/>
            <w:shd w:val="clear" w:color="auto" w:fill="FFFFFF" w:themeFill="background1"/>
            <w:tcMar>
              <w:top w:w="60" w:type="dxa"/>
              <w:left w:w="60" w:type="dxa"/>
              <w:bottom w:w="60" w:type="dxa"/>
              <w:right w:w="60" w:type="dxa"/>
            </w:tcMar>
            <w:vAlign w:val="center"/>
          </w:tcPr>
          <w:p w14:paraId="38BF0BE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Spielberger Trait Anxiety Inventory (STAI)</w:t>
            </w:r>
          </w:p>
        </w:tc>
      </w:tr>
      <w:tr w:rsidR="002D1216" w:rsidRPr="002D1216" w14:paraId="2002BD26" w14:textId="77777777" w:rsidTr="00FE3472">
        <w:tc>
          <w:tcPr>
            <w:tcW w:w="8817" w:type="dxa"/>
            <w:gridSpan w:val="2"/>
            <w:shd w:val="clear" w:color="auto" w:fill="E7E6E6" w:themeFill="background2"/>
            <w:tcMar>
              <w:top w:w="60" w:type="dxa"/>
              <w:left w:w="60" w:type="dxa"/>
              <w:bottom w:w="60" w:type="dxa"/>
              <w:right w:w="60" w:type="dxa"/>
            </w:tcMar>
            <w:vAlign w:val="center"/>
          </w:tcPr>
          <w:p w14:paraId="50AD3623"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Pain*</w:t>
            </w:r>
          </w:p>
        </w:tc>
      </w:tr>
      <w:tr w:rsidR="002D1216" w:rsidRPr="002D1216" w14:paraId="561F4E37" w14:textId="77777777" w:rsidTr="00FE3472">
        <w:tc>
          <w:tcPr>
            <w:tcW w:w="0" w:type="auto"/>
            <w:shd w:val="clear" w:color="auto" w:fill="FFFFFF" w:themeFill="background1"/>
            <w:tcMar>
              <w:top w:w="60" w:type="dxa"/>
              <w:left w:w="60" w:type="dxa"/>
              <w:bottom w:w="60" w:type="dxa"/>
              <w:right w:w="60" w:type="dxa"/>
            </w:tcMar>
            <w:vAlign w:val="center"/>
            <w:hideMark/>
          </w:tcPr>
          <w:p w14:paraId="241F2BE1" w14:textId="77777777" w:rsidR="002D1216" w:rsidRPr="002D1216" w:rsidRDefault="002D1216" w:rsidP="002B0F75">
            <w:pPr>
              <w:spacing w:after="0" w:line="360" w:lineRule="auto"/>
              <w:rPr>
                <w:rFonts w:ascii="Cambria" w:eastAsia="Calibri" w:hAnsi="Cambria" w:cs="Calibri"/>
                <w:color w:val="000000"/>
                <w:sz w:val="24"/>
                <w:szCs w:val="24"/>
              </w:rPr>
            </w:pPr>
            <w:hyperlink r:id="rId102" w:history="1">
              <w:r w:rsidRPr="002D1216">
                <w:rPr>
                  <w:rStyle w:val="Hyperlink"/>
                  <w:rFonts w:ascii="Cambria" w:eastAsia="Calibri" w:hAnsi="Cambria" w:cs="Calibri"/>
                  <w:sz w:val="24"/>
                  <w:szCs w:val="24"/>
                </w:rPr>
                <w:t>B4HSYMX</w:t>
              </w:r>
            </w:hyperlink>
          </w:p>
        </w:tc>
        <w:tc>
          <w:tcPr>
            <w:tcW w:w="6986" w:type="dxa"/>
            <w:shd w:val="clear" w:color="auto" w:fill="FFFFFF" w:themeFill="background1"/>
            <w:tcMar>
              <w:top w:w="60" w:type="dxa"/>
              <w:left w:w="60" w:type="dxa"/>
              <w:bottom w:w="60" w:type="dxa"/>
              <w:right w:w="60" w:type="dxa"/>
            </w:tcMar>
            <w:vAlign w:val="center"/>
            <w:hideMark/>
          </w:tcPr>
          <w:p w14:paraId="5AE31EB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Any Symptoms and Chronic Conditions? (Yes/No)</w:t>
            </w:r>
          </w:p>
        </w:tc>
      </w:tr>
      <w:tr w:rsidR="002D1216" w:rsidRPr="002D1216" w14:paraId="4F5249B4" w14:textId="77777777" w:rsidTr="00FE3472">
        <w:tc>
          <w:tcPr>
            <w:tcW w:w="0" w:type="auto"/>
            <w:shd w:val="clear" w:color="auto" w:fill="FFFFFF" w:themeFill="background1"/>
            <w:tcMar>
              <w:top w:w="60" w:type="dxa"/>
              <w:left w:w="60" w:type="dxa"/>
              <w:bottom w:w="60" w:type="dxa"/>
              <w:right w:w="60" w:type="dxa"/>
            </w:tcMar>
            <w:vAlign w:val="center"/>
            <w:hideMark/>
          </w:tcPr>
          <w:p w14:paraId="0A08831A" w14:textId="77777777" w:rsidR="002D1216" w:rsidRPr="002D1216" w:rsidRDefault="002D1216" w:rsidP="002B0F75">
            <w:pPr>
              <w:spacing w:after="0" w:line="360" w:lineRule="auto"/>
              <w:rPr>
                <w:rFonts w:ascii="Cambria" w:eastAsia="Calibri" w:hAnsi="Cambria" w:cs="Calibri"/>
                <w:color w:val="000000"/>
                <w:sz w:val="24"/>
                <w:szCs w:val="24"/>
              </w:rPr>
            </w:pPr>
            <w:hyperlink r:id="rId103" w:history="1">
              <w:r w:rsidRPr="002D1216">
                <w:rPr>
                  <w:rStyle w:val="Hyperlink"/>
                  <w:rFonts w:ascii="Cambria" w:eastAsia="Calibri" w:hAnsi="Cambria" w:cs="Calibri"/>
                  <w:sz w:val="24"/>
                  <w:szCs w:val="24"/>
                </w:rPr>
                <w:t>B4HSYMN</w:t>
              </w:r>
            </w:hyperlink>
          </w:p>
        </w:tc>
        <w:tc>
          <w:tcPr>
            <w:tcW w:w="6986" w:type="dxa"/>
            <w:shd w:val="clear" w:color="auto" w:fill="FFFFFF" w:themeFill="background1"/>
            <w:tcMar>
              <w:top w:w="60" w:type="dxa"/>
              <w:left w:w="60" w:type="dxa"/>
              <w:bottom w:w="60" w:type="dxa"/>
              <w:right w:w="60" w:type="dxa"/>
            </w:tcMar>
            <w:vAlign w:val="center"/>
            <w:hideMark/>
          </w:tcPr>
          <w:p w14:paraId="039A3E3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Total number of Symptoms and Chronic Conditions</w:t>
            </w:r>
          </w:p>
        </w:tc>
      </w:tr>
      <w:bookmarkStart w:id="105" w:name="_Hlk136698163"/>
      <w:tr w:rsidR="002D1216" w:rsidRPr="002D1216" w14:paraId="1FFE11DA" w14:textId="77777777" w:rsidTr="00FE3472">
        <w:tc>
          <w:tcPr>
            <w:tcW w:w="0" w:type="auto"/>
            <w:shd w:val="clear" w:color="auto" w:fill="FFFFFF" w:themeFill="background1"/>
            <w:tcMar>
              <w:top w:w="60" w:type="dxa"/>
              <w:left w:w="60" w:type="dxa"/>
              <w:bottom w:w="60" w:type="dxa"/>
              <w:right w:w="60" w:type="dxa"/>
            </w:tcMar>
            <w:vAlign w:val="center"/>
          </w:tcPr>
          <w:p w14:paraId="22E26A4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fldChar w:fldCharType="begin"/>
            </w:r>
            <w:r w:rsidRPr="002D1216">
              <w:rPr>
                <w:rFonts w:ascii="Cambria" w:eastAsia="Calibri" w:hAnsi="Cambria" w:cs="Calibri"/>
                <w:color w:val="000000"/>
                <w:sz w:val="24"/>
                <w:szCs w:val="24"/>
              </w:rPr>
              <w:instrText xml:space="preserve"> HYPERLINK "https://midus.colectica.org/item/midus.wisc.edu/35e80e43-5617-419e-a943-783d57917c3f" </w:instrText>
            </w:r>
            <w:r w:rsidRPr="002D1216">
              <w:rPr>
                <w:rFonts w:ascii="Cambria" w:eastAsia="Calibri" w:hAnsi="Cambria" w:cs="Calibri"/>
                <w:color w:val="000000"/>
                <w:sz w:val="24"/>
                <w:szCs w:val="24"/>
              </w:rPr>
            </w:r>
            <w:r w:rsidRPr="002D1216">
              <w:rPr>
                <w:rFonts w:ascii="Cambria" w:eastAsia="Calibri" w:hAnsi="Cambria" w:cs="Calibri"/>
                <w:color w:val="000000"/>
                <w:sz w:val="24"/>
                <w:szCs w:val="24"/>
              </w:rPr>
              <w:fldChar w:fldCharType="separate"/>
            </w:r>
            <w:r w:rsidRPr="002D1216">
              <w:rPr>
                <w:rStyle w:val="Hyperlink"/>
                <w:rFonts w:ascii="Cambria" w:eastAsia="Calibri" w:hAnsi="Cambria" w:cs="Calibri"/>
                <w:sz w:val="24"/>
                <w:szCs w:val="24"/>
              </w:rPr>
              <w:t>B1SA23A</w:t>
            </w:r>
            <w:r w:rsidRPr="002D1216">
              <w:rPr>
                <w:rFonts w:ascii="Cambria" w:eastAsia="Calibri" w:hAnsi="Cambria" w:cs="Calibri"/>
                <w:color w:val="000000"/>
                <w:sz w:val="24"/>
                <w:szCs w:val="24"/>
              </w:rPr>
              <w:fldChar w:fldCharType="end"/>
            </w:r>
            <w:r w:rsidRPr="002D1216">
              <w:rPr>
                <w:rFonts w:ascii="Cambria" w:eastAsia="Calibri" w:hAnsi="Cambria" w:cs="Calibri"/>
                <w:color w:val="000000"/>
                <w:sz w:val="24"/>
                <w:szCs w:val="24"/>
                <w:u w:val="single"/>
              </w:rPr>
              <w:t>/ B1SA23D</w:t>
            </w:r>
            <w:bookmarkEnd w:id="105"/>
          </w:p>
        </w:tc>
        <w:tc>
          <w:tcPr>
            <w:tcW w:w="6986" w:type="dxa"/>
            <w:shd w:val="clear" w:color="auto" w:fill="FFFFFF" w:themeFill="background1"/>
            <w:tcMar>
              <w:top w:w="60" w:type="dxa"/>
              <w:left w:w="60" w:type="dxa"/>
              <w:bottom w:w="60" w:type="dxa"/>
              <w:right w:w="60" w:type="dxa"/>
            </w:tcMar>
            <w:vAlign w:val="center"/>
          </w:tcPr>
          <w:p w14:paraId="631461F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Diagnosis given by physician or other health care professional about pain</w:t>
            </w:r>
          </w:p>
        </w:tc>
      </w:tr>
      <w:tr w:rsidR="002D1216" w:rsidRPr="002D1216" w14:paraId="7D11F413" w14:textId="77777777" w:rsidTr="00FE3472">
        <w:tc>
          <w:tcPr>
            <w:tcW w:w="0" w:type="auto"/>
            <w:shd w:val="clear" w:color="auto" w:fill="FFFFFF" w:themeFill="background1"/>
            <w:tcMar>
              <w:top w:w="60" w:type="dxa"/>
              <w:left w:w="60" w:type="dxa"/>
              <w:bottom w:w="60" w:type="dxa"/>
              <w:right w:w="60" w:type="dxa"/>
            </w:tcMar>
            <w:vAlign w:val="center"/>
          </w:tcPr>
          <w:p w14:paraId="70FF8D9E" w14:textId="77777777" w:rsidR="002D1216" w:rsidRPr="002D1216" w:rsidRDefault="002D1216" w:rsidP="002B0F75">
            <w:pPr>
              <w:spacing w:after="0" w:line="360" w:lineRule="auto"/>
              <w:rPr>
                <w:rFonts w:ascii="Cambria" w:eastAsia="Calibri" w:hAnsi="Cambria" w:cs="Calibri"/>
                <w:color w:val="000000"/>
                <w:sz w:val="24"/>
                <w:szCs w:val="24"/>
              </w:rPr>
            </w:pPr>
            <w:hyperlink r:id="rId104" w:history="1">
              <w:r w:rsidRPr="002D1216">
                <w:rPr>
                  <w:rStyle w:val="Hyperlink"/>
                  <w:rFonts w:ascii="Cambria" w:eastAsia="Calibri" w:hAnsi="Cambria" w:cs="Calibri"/>
                  <w:sz w:val="24"/>
                  <w:szCs w:val="24"/>
                </w:rPr>
                <w:t>B4Q10WW1</w:t>
              </w:r>
            </w:hyperlink>
          </w:p>
        </w:tc>
        <w:tc>
          <w:tcPr>
            <w:tcW w:w="6986" w:type="dxa"/>
            <w:shd w:val="clear" w:color="auto" w:fill="FFFFFF" w:themeFill="background1"/>
            <w:tcMar>
              <w:top w:w="60" w:type="dxa"/>
              <w:left w:w="60" w:type="dxa"/>
              <w:bottom w:w="60" w:type="dxa"/>
              <w:right w:w="60" w:type="dxa"/>
            </w:tcMar>
            <w:vAlign w:val="center"/>
          </w:tcPr>
          <w:p w14:paraId="16E8D3C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Feeling no pain in the last month</w:t>
            </w:r>
          </w:p>
        </w:tc>
      </w:tr>
      <w:tr w:rsidR="002D1216" w:rsidRPr="002D1216" w14:paraId="19D31E8D" w14:textId="77777777" w:rsidTr="00FE3472">
        <w:tc>
          <w:tcPr>
            <w:tcW w:w="0" w:type="auto"/>
            <w:shd w:val="clear" w:color="auto" w:fill="FFFFFF" w:themeFill="background1"/>
            <w:tcMar>
              <w:top w:w="60" w:type="dxa"/>
              <w:left w:w="60" w:type="dxa"/>
              <w:bottom w:w="60" w:type="dxa"/>
              <w:right w:w="60" w:type="dxa"/>
            </w:tcMar>
            <w:vAlign w:val="center"/>
          </w:tcPr>
          <w:p w14:paraId="34CD7B3C" w14:textId="77777777" w:rsidR="002D1216" w:rsidRPr="002D1216" w:rsidRDefault="002D1216" w:rsidP="002B0F75">
            <w:pPr>
              <w:spacing w:after="0" w:line="360" w:lineRule="auto"/>
              <w:rPr>
                <w:rFonts w:ascii="Cambria" w:eastAsia="Calibri" w:hAnsi="Cambria" w:cs="Calibri"/>
                <w:color w:val="000000"/>
                <w:sz w:val="24"/>
                <w:szCs w:val="24"/>
              </w:rPr>
            </w:pPr>
            <w:hyperlink r:id="rId105" w:history="1">
              <w:r w:rsidRPr="002D1216">
                <w:rPr>
                  <w:rStyle w:val="Hyperlink"/>
                  <w:rFonts w:ascii="Cambria" w:eastAsia="Calibri" w:hAnsi="Cambria" w:cs="Calibri"/>
                  <w:sz w:val="24"/>
                  <w:szCs w:val="24"/>
                </w:rPr>
                <w:t>BACAS22</w:t>
              </w:r>
            </w:hyperlink>
          </w:p>
        </w:tc>
        <w:tc>
          <w:tcPr>
            <w:tcW w:w="6986" w:type="dxa"/>
            <w:shd w:val="clear" w:color="auto" w:fill="FFFFFF" w:themeFill="background1"/>
            <w:tcMar>
              <w:top w:w="60" w:type="dxa"/>
              <w:left w:w="60" w:type="dxa"/>
              <w:bottom w:w="60" w:type="dxa"/>
              <w:right w:w="60" w:type="dxa"/>
            </w:tcMar>
            <w:vAlign w:val="center"/>
          </w:tcPr>
          <w:p w14:paraId="49FD69D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Saw physician/professional about pain</w:t>
            </w:r>
          </w:p>
        </w:tc>
      </w:tr>
      <w:tr w:rsidR="002D1216" w:rsidRPr="002D1216" w14:paraId="0617C115" w14:textId="77777777" w:rsidTr="00FE3472">
        <w:tc>
          <w:tcPr>
            <w:tcW w:w="0" w:type="auto"/>
            <w:shd w:val="clear" w:color="auto" w:fill="FFFFFF" w:themeFill="background1"/>
            <w:tcMar>
              <w:top w:w="60" w:type="dxa"/>
              <w:left w:w="60" w:type="dxa"/>
              <w:bottom w:w="60" w:type="dxa"/>
              <w:right w:w="60" w:type="dxa"/>
            </w:tcMar>
            <w:vAlign w:val="center"/>
          </w:tcPr>
          <w:p w14:paraId="5347C3D7" w14:textId="77777777" w:rsidR="002D1216" w:rsidRPr="002D1216" w:rsidRDefault="002D1216" w:rsidP="002B0F75">
            <w:pPr>
              <w:spacing w:after="0" w:line="360" w:lineRule="auto"/>
              <w:rPr>
                <w:rFonts w:ascii="Cambria" w:eastAsia="Calibri" w:hAnsi="Cambria" w:cs="Calibri"/>
                <w:color w:val="000000"/>
                <w:sz w:val="24"/>
                <w:szCs w:val="24"/>
              </w:rPr>
            </w:pPr>
            <w:hyperlink r:id="rId106" w:history="1">
              <w:r w:rsidRPr="002D1216">
                <w:rPr>
                  <w:rStyle w:val="Hyperlink"/>
                  <w:rFonts w:ascii="Cambria" w:eastAsia="Calibri" w:hAnsi="Cambria" w:cs="Calibri"/>
                  <w:sz w:val="24"/>
                  <w:szCs w:val="24"/>
                </w:rPr>
                <w:t>K2Q1XD</w:t>
              </w:r>
            </w:hyperlink>
          </w:p>
        </w:tc>
        <w:tc>
          <w:tcPr>
            <w:tcW w:w="6986" w:type="dxa"/>
            <w:shd w:val="clear" w:color="auto" w:fill="FFFFFF" w:themeFill="background1"/>
            <w:tcMar>
              <w:top w:w="60" w:type="dxa"/>
              <w:left w:w="60" w:type="dxa"/>
              <w:bottom w:w="60" w:type="dxa"/>
              <w:right w:w="60" w:type="dxa"/>
            </w:tcMar>
            <w:vAlign w:val="center"/>
          </w:tcPr>
          <w:p w14:paraId="0330E6E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Physician diagnosed chronic back or neck problems</w:t>
            </w:r>
          </w:p>
        </w:tc>
      </w:tr>
      <w:tr w:rsidR="002D1216" w:rsidRPr="002D1216" w14:paraId="110F61D2" w14:textId="77777777" w:rsidTr="00FE3472">
        <w:tc>
          <w:tcPr>
            <w:tcW w:w="0" w:type="auto"/>
            <w:shd w:val="clear" w:color="auto" w:fill="FFFFFF" w:themeFill="background1"/>
            <w:tcMar>
              <w:top w:w="60" w:type="dxa"/>
              <w:left w:w="60" w:type="dxa"/>
              <w:bottom w:w="60" w:type="dxa"/>
              <w:right w:w="60" w:type="dxa"/>
            </w:tcMar>
            <w:vAlign w:val="center"/>
          </w:tcPr>
          <w:p w14:paraId="5856F1D6" w14:textId="77777777" w:rsidR="002D1216" w:rsidRPr="002D1216" w:rsidRDefault="002D1216" w:rsidP="002B0F75">
            <w:pPr>
              <w:spacing w:after="0" w:line="360" w:lineRule="auto"/>
              <w:rPr>
                <w:rFonts w:ascii="Cambria" w:eastAsia="Calibri" w:hAnsi="Cambria" w:cs="Calibri"/>
                <w:color w:val="000000"/>
                <w:sz w:val="24"/>
                <w:szCs w:val="24"/>
                <w:u w:val="single"/>
              </w:rPr>
            </w:pPr>
            <w:r w:rsidRPr="002D1216">
              <w:rPr>
                <w:rFonts w:ascii="Cambria" w:eastAsia="Calibri" w:hAnsi="Cambria" w:cs="Calibri"/>
                <w:color w:val="000000"/>
                <w:sz w:val="24"/>
                <w:szCs w:val="24"/>
                <w:u w:val="single"/>
              </w:rPr>
              <w:t>B1SA15/K2Q17/</w:t>
            </w:r>
          </w:p>
          <w:p w14:paraId="1A8879D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u w:val="single"/>
              </w:rPr>
              <w:t>BACAS15/RA1SA15</w:t>
            </w:r>
          </w:p>
        </w:tc>
        <w:tc>
          <w:tcPr>
            <w:tcW w:w="6986" w:type="dxa"/>
            <w:shd w:val="clear" w:color="auto" w:fill="FFFFFF" w:themeFill="background1"/>
            <w:tcMar>
              <w:top w:w="60" w:type="dxa"/>
              <w:left w:w="60" w:type="dxa"/>
              <w:bottom w:w="60" w:type="dxa"/>
              <w:right w:w="60" w:type="dxa"/>
            </w:tcMar>
            <w:vAlign w:val="center"/>
          </w:tcPr>
          <w:p w14:paraId="00B73F9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Has chronic pain/persists beyond normal</w:t>
            </w:r>
          </w:p>
        </w:tc>
      </w:tr>
      <w:tr w:rsidR="002D1216" w:rsidRPr="002D1216" w14:paraId="2600531F" w14:textId="77777777" w:rsidTr="00FE3472">
        <w:tc>
          <w:tcPr>
            <w:tcW w:w="8817" w:type="dxa"/>
            <w:gridSpan w:val="2"/>
            <w:shd w:val="clear" w:color="auto" w:fill="E7E6E6" w:themeFill="background2"/>
            <w:tcMar>
              <w:top w:w="60" w:type="dxa"/>
              <w:left w:w="60" w:type="dxa"/>
              <w:bottom w:w="60" w:type="dxa"/>
              <w:right w:w="60" w:type="dxa"/>
            </w:tcMar>
            <w:vAlign w:val="center"/>
          </w:tcPr>
          <w:p w14:paraId="1628603A"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Inflammatory biomarker</w:t>
            </w:r>
          </w:p>
        </w:tc>
      </w:tr>
      <w:tr w:rsidR="002D1216" w:rsidRPr="002D1216" w14:paraId="1A9AE1D0" w14:textId="77777777" w:rsidTr="00FE3472">
        <w:tc>
          <w:tcPr>
            <w:tcW w:w="0" w:type="auto"/>
            <w:shd w:val="clear" w:color="auto" w:fill="FFFFFF" w:themeFill="background1"/>
            <w:tcMar>
              <w:top w:w="60" w:type="dxa"/>
              <w:left w:w="60" w:type="dxa"/>
              <w:bottom w:w="60" w:type="dxa"/>
              <w:right w:w="60" w:type="dxa"/>
            </w:tcMar>
            <w:vAlign w:val="center"/>
          </w:tcPr>
          <w:p w14:paraId="75819760" w14:textId="77777777" w:rsidR="002D1216" w:rsidRPr="002D1216" w:rsidRDefault="002D1216" w:rsidP="002B0F75">
            <w:pPr>
              <w:spacing w:after="0" w:line="360" w:lineRule="auto"/>
              <w:rPr>
                <w:rFonts w:ascii="Cambria" w:eastAsia="Calibri" w:hAnsi="Cambria" w:cs="Calibri"/>
                <w:color w:val="000000"/>
                <w:sz w:val="24"/>
                <w:szCs w:val="24"/>
              </w:rPr>
            </w:pPr>
            <w:hyperlink r:id="rId107" w:history="1">
              <w:r w:rsidRPr="002D1216">
                <w:rPr>
                  <w:rStyle w:val="Hyperlink"/>
                  <w:rFonts w:ascii="Cambria" w:eastAsia="Calibri" w:hAnsi="Cambria" w:cs="Calibri"/>
                  <w:sz w:val="24"/>
                  <w:szCs w:val="24"/>
                </w:rPr>
                <w:t>B4BCRP</w:t>
              </w:r>
            </w:hyperlink>
          </w:p>
        </w:tc>
        <w:tc>
          <w:tcPr>
            <w:tcW w:w="6986" w:type="dxa"/>
            <w:shd w:val="clear" w:color="auto" w:fill="FFFFFF" w:themeFill="background1"/>
            <w:tcMar>
              <w:top w:w="60" w:type="dxa"/>
              <w:left w:w="60" w:type="dxa"/>
              <w:bottom w:w="60" w:type="dxa"/>
              <w:right w:w="60" w:type="dxa"/>
            </w:tcMar>
            <w:vAlign w:val="center"/>
          </w:tcPr>
          <w:p w14:paraId="07992E8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Blood C-Reactive Protein (ug/mL)</w:t>
            </w:r>
          </w:p>
        </w:tc>
      </w:tr>
      <w:tr w:rsidR="002D1216" w:rsidRPr="002D1216" w14:paraId="19EF44DD" w14:textId="77777777" w:rsidTr="00FE3472">
        <w:tc>
          <w:tcPr>
            <w:tcW w:w="8817" w:type="dxa"/>
            <w:gridSpan w:val="2"/>
            <w:shd w:val="clear" w:color="auto" w:fill="E7E6E6" w:themeFill="background2"/>
            <w:tcMar>
              <w:top w:w="60" w:type="dxa"/>
              <w:left w:w="60" w:type="dxa"/>
              <w:bottom w:w="60" w:type="dxa"/>
              <w:right w:w="60" w:type="dxa"/>
            </w:tcMar>
            <w:vAlign w:val="center"/>
          </w:tcPr>
          <w:p w14:paraId="42D5AA33"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Control variables</w:t>
            </w:r>
          </w:p>
        </w:tc>
      </w:tr>
      <w:tr w:rsidR="002D1216" w:rsidRPr="002D1216" w14:paraId="7D7FB999" w14:textId="77777777" w:rsidTr="00FE3472">
        <w:trPr>
          <w:trHeight w:val="201"/>
        </w:trPr>
        <w:tc>
          <w:tcPr>
            <w:tcW w:w="0" w:type="auto"/>
            <w:shd w:val="clear" w:color="auto" w:fill="FFFFFF" w:themeFill="background1"/>
            <w:tcMar>
              <w:top w:w="60" w:type="dxa"/>
              <w:left w:w="60" w:type="dxa"/>
              <w:bottom w:w="60" w:type="dxa"/>
              <w:right w:w="60" w:type="dxa"/>
            </w:tcMar>
            <w:vAlign w:val="center"/>
            <w:hideMark/>
          </w:tcPr>
          <w:p w14:paraId="0B31A010" w14:textId="77777777" w:rsidR="002D1216" w:rsidRPr="002D1216" w:rsidRDefault="002D1216" w:rsidP="002B0F75">
            <w:pPr>
              <w:spacing w:after="0" w:line="360" w:lineRule="auto"/>
              <w:rPr>
                <w:rFonts w:ascii="Cambria" w:eastAsia="Calibri" w:hAnsi="Cambria" w:cs="Calibri"/>
                <w:color w:val="000000"/>
                <w:sz w:val="24"/>
                <w:szCs w:val="24"/>
              </w:rPr>
            </w:pPr>
            <w:hyperlink r:id="rId108" w:history="1">
              <w:r w:rsidRPr="002D1216">
                <w:rPr>
                  <w:rStyle w:val="Hyperlink"/>
                  <w:rFonts w:ascii="Cambria" w:eastAsia="Calibri" w:hAnsi="Cambria" w:cs="Calibri"/>
                  <w:sz w:val="24"/>
                  <w:szCs w:val="24"/>
                </w:rPr>
                <w:t>B1PRSEX</w:t>
              </w:r>
            </w:hyperlink>
          </w:p>
        </w:tc>
        <w:tc>
          <w:tcPr>
            <w:tcW w:w="6986" w:type="dxa"/>
            <w:shd w:val="clear" w:color="auto" w:fill="FFFFFF" w:themeFill="background1"/>
            <w:tcMar>
              <w:top w:w="60" w:type="dxa"/>
              <w:left w:w="60" w:type="dxa"/>
              <w:bottom w:w="60" w:type="dxa"/>
              <w:right w:w="60" w:type="dxa"/>
            </w:tcMar>
            <w:vAlign w:val="center"/>
            <w:hideMark/>
          </w:tcPr>
          <w:p w14:paraId="09D64E1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Gender</w:t>
            </w:r>
          </w:p>
        </w:tc>
      </w:tr>
      <w:tr w:rsidR="002D1216" w:rsidRPr="002D1216" w14:paraId="4A329A90" w14:textId="77777777" w:rsidTr="00FE3472">
        <w:tc>
          <w:tcPr>
            <w:tcW w:w="0" w:type="auto"/>
            <w:shd w:val="clear" w:color="auto" w:fill="FFFFFF" w:themeFill="background1"/>
            <w:tcMar>
              <w:top w:w="60" w:type="dxa"/>
              <w:left w:w="60" w:type="dxa"/>
              <w:bottom w:w="60" w:type="dxa"/>
              <w:right w:w="60" w:type="dxa"/>
            </w:tcMar>
            <w:vAlign w:val="center"/>
          </w:tcPr>
          <w:p w14:paraId="28002795" w14:textId="77777777" w:rsidR="002D1216" w:rsidRPr="002D1216" w:rsidRDefault="002D1216" w:rsidP="002B0F75">
            <w:pPr>
              <w:spacing w:after="0" w:line="360" w:lineRule="auto"/>
              <w:rPr>
                <w:rFonts w:ascii="Cambria" w:eastAsia="Calibri" w:hAnsi="Cambria" w:cs="Calibri"/>
                <w:color w:val="000000"/>
                <w:sz w:val="24"/>
                <w:szCs w:val="24"/>
              </w:rPr>
            </w:pPr>
            <w:hyperlink r:id="rId109" w:history="1">
              <w:r w:rsidRPr="002D1216">
                <w:rPr>
                  <w:rStyle w:val="Hyperlink"/>
                  <w:rFonts w:ascii="Cambria" w:eastAsia="Calibri" w:hAnsi="Cambria" w:cs="Calibri"/>
                  <w:sz w:val="24"/>
                  <w:szCs w:val="24"/>
                </w:rPr>
                <w:t>B1PRAGE_2019</w:t>
              </w:r>
            </w:hyperlink>
            <w:r w:rsidRPr="002D1216">
              <w:rPr>
                <w:rFonts w:ascii="Cambria" w:eastAsia="Calibri" w:hAnsi="Cambria" w:cs="Calibri"/>
                <w:color w:val="000000"/>
                <w:sz w:val="24"/>
                <w:szCs w:val="24"/>
              </w:rPr>
              <w:t xml:space="preserve">/ </w:t>
            </w:r>
            <w:hyperlink r:id="rId110" w:history="1">
              <w:r w:rsidRPr="002D1216">
                <w:rPr>
                  <w:rStyle w:val="Hyperlink"/>
                  <w:rFonts w:ascii="Cambria" w:eastAsia="Calibri" w:hAnsi="Cambria" w:cs="Calibri"/>
                  <w:sz w:val="24"/>
                  <w:szCs w:val="24"/>
                </w:rPr>
                <w:t>BACRAGE</w:t>
              </w:r>
            </w:hyperlink>
            <w:r w:rsidRPr="002D1216">
              <w:rPr>
                <w:rFonts w:ascii="Cambria" w:eastAsia="Calibri" w:hAnsi="Cambria" w:cs="Calibri"/>
                <w:color w:val="000000"/>
                <w:sz w:val="24"/>
                <w:szCs w:val="24"/>
              </w:rPr>
              <w:t xml:space="preserve"> </w:t>
            </w:r>
          </w:p>
        </w:tc>
        <w:tc>
          <w:tcPr>
            <w:tcW w:w="6986" w:type="dxa"/>
            <w:shd w:val="clear" w:color="auto" w:fill="FFFFFF" w:themeFill="background1"/>
            <w:tcMar>
              <w:top w:w="60" w:type="dxa"/>
              <w:left w:w="60" w:type="dxa"/>
              <w:bottom w:w="60" w:type="dxa"/>
              <w:right w:w="60" w:type="dxa"/>
            </w:tcMar>
            <w:vAlign w:val="center"/>
          </w:tcPr>
          <w:p w14:paraId="28FB427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Respondent's calculated age at project interview</w:t>
            </w:r>
          </w:p>
        </w:tc>
      </w:tr>
      <w:tr w:rsidR="002D1216" w:rsidRPr="002D1216" w14:paraId="4CD75678" w14:textId="77777777" w:rsidTr="00FE3472">
        <w:tc>
          <w:tcPr>
            <w:tcW w:w="0" w:type="auto"/>
            <w:shd w:val="clear" w:color="auto" w:fill="FFFFFF" w:themeFill="background1"/>
            <w:tcMar>
              <w:top w:w="60" w:type="dxa"/>
              <w:left w:w="60" w:type="dxa"/>
              <w:bottom w:w="60" w:type="dxa"/>
              <w:right w:w="60" w:type="dxa"/>
            </w:tcMar>
            <w:vAlign w:val="center"/>
          </w:tcPr>
          <w:p w14:paraId="12606866" w14:textId="77777777" w:rsidR="002D1216" w:rsidRPr="002D1216" w:rsidRDefault="002D1216" w:rsidP="002B0F75">
            <w:pPr>
              <w:spacing w:after="0" w:line="360" w:lineRule="auto"/>
              <w:rPr>
                <w:rFonts w:ascii="Cambria" w:eastAsia="Calibri" w:hAnsi="Cambria" w:cs="Calibri"/>
                <w:color w:val="000000"/>
                <w:sz w:val="24"/>
                <w:szCs w:val="24"/>
              </w:rPr>
            </w:pPr>
            <w:hyperlink r:id="rId111" w:history="1">
              <w:r w:rsidRPr="002D1216">
                <w:rPr>
                  <w:rStyle w:val="Hyperlink"/>
                  <w:rFonts w:ascii="Cambria" w:eastAsia="Calibri" w:hAnsi="Cambria" w:cs="Calibri"/>
                  <w:sz w:val="24"/>
                  <w:szCs w:val="24"/>
                </w:rPr>
                <w:t>B1STINC1</w:t>
              </w:r>
            </w:hyperlink>
            <w:r w:rsidRPr="002D1216">
              <w:rPr>
                <w:rFonts w:ascii="Cambria" w:eastAsia="Calibri" w:hAnsi="Cambria" w:cs="Calibri"/>
                <w:color w:val="000000"/>
                <w:sz w:val="24"/>
                <w:szCs w:val="24"/>
              </w:rPr>
              <w:t xml:space="preserve">/ </w:t>
            </w:r>
            <w:hyperlink r:id="rId112" w:history="1">
              <w:r w:rsidRPr="002D1216">
                <w:rPr>
                  <w:rStyle w:val="Hyperlink"/>
                  <w:rFonts w:ascii="Cambria" w:eastAsia="Calibri" w:hAnsi="Cambria" w:cs="Calibri"/>
                  <w:sz w:val="24"/>
                  <w:szCs w:val="24"/>
                </w:rPr>
                <w:t>BACTINC1</w:t>
              </w:r>
            </w:hyperlink>
          </w:p>
        </w:tc>
        <w:tc>
          <w:tcPr>
            <w:tcW w:w="6986" w:type="dxa"/>
            <w:shd w:val="clear" w:color="auto" w:fill="FFFFFF" w:themeFill="background1"/>
            <w:tcMar>
              <w:top w:w="60" w:type="dxa"/>
              <w:left w:w="60" w:type="dxa"/>
              <w:bottom w:w="60" w:type="dxa"/>
              <w:right w:w="60" w:type="dxa"/>
            </w:tcMar>
            <w:vAlign w:val="center"/>
          </w:tcPr>
          <w:p w14:paraId="1791BB9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Household total income from wage, pension, social security, and other sources</w:t>
            </w:r>
          </w:p>
        </w:tc>
      </w:tr>
      <w:tr w:rsidR="002D1216" w:rsidRPr="002D1216" w14:paraId="04A45CE6" w14:textId="77777777" w:rsidTr="00FE3472">
        <w:tc>
          <w:tcPr>
            <w:tcW w:w="0" w:type="auto"/>
            <w:shd w:val="clear" w:color="auto" w:fill="FFFFFF" w:themeFill="background1"/>
            <w:tcMar>
              <w:top w:w="60" w:type="dxa"/>
              <w:left w:w="60" w:type="dxa"/>
              <w:bottom w:w="60" w:type="dxa"/>
              <w:right w:w="60" w:type="dxa"/>
            </w:tcMar>
            <w:vAlign w:val="center"/>
          </w:tcPr>
          <w:p w14:paraId="7C1D0AAA" w14:textId="77777777" w:rsidR="002D1216" w:rsidRPr="002D1216" w:rsidRDefault="002D1216" w:rsidP="002B0F75">
            <w:pPr>
              <w:spacing w:after="0" w:line="360" w:lineRule="auto"/>
              <w:rPr>
                <w:rFonts w:ascii="Cambria" w:eastAsia="Calibri" w:hAnsi="Cambria" w:cs="Calibri"/>
                <w:color w:val="000000"/>
                <w:sz w:val="24"/>
                <w:szCs w:val="24"/>
              </w:rPr>
            </w:pPr>
            <w:hyperlink r:id="rId113" w:history="1">
              <w:r w:rsidRPr="002D1216">
                <w:rPr>
                  <w:rStyle w:val="Hyperlink"/>
                  <w:rFonts w:ascii="Cambria" w:eastAsia="Calibri" w:hAnsi="Cambria" w:cs="Calibri"/>
                  <w:sz w:val="24"/>
                  <w:szCs w:val="24"/>
                </w:rPr>
                <w:t>B1SRINC1</w:t>
              </w:r>
            </w:hyperlink>
            <w:r w:rsidRPr="002D1216">
              <w:rPr>
                <w:rFonts w:ascii="Cambria" w:eastAsia="Calibri" w:hAnsi="Cambria" w:cs="Calibri"/>
                <w:color w:val="000000"/>
                <w:sz w:val="24"/>
                <w:szCs w:val="24"/>
              </w:rPr>
              <w:t xml:space="preserve">/ </w:t>
            </w:r>
            <w:hyperlink r:id="rId114" w:history="1">
              <w:r w:rsidRPr="002D1216">
                <w:rPr>
                  <w:rStyle w:val="Hyperlink"/>
                  <w:rFonts w:ascii="Cambria" w:eastAsia="Calibri" w:hAnsi="Cambria" w:cs="Calibri"/>
                  <w:sz w:val="24"/>
                  <w:szCs w:val="24"/>
                </w:rPr>
                <w:t>BACRINC1</w:t>
              </w:r>
            </w:hyperlink>
          </w:p>
        </w:tc>
        <w:tc>
          <w:tcPr>
            <w:tcW w:w="6986" w:type="dxa"/>
            <w:shd w:val="clear" w:color="auto" w:fill="FFFFFF" w:themeFill="background1"/>
            <w:tcMar>
              <w:top w:w="60" w:type="dxa"/>
              <w:left w:w="60" w:type="dxa"/>
              <w:bottom w:w="60" w:type="dxa"/>
              <w:right w:w="60" w:type="dxa"/>
            </w:tcMar>
            <w:vAlign w:val="center"/>
          </w:tcPr>
          <w:p w14:paraId="012F0A2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Respondent's personal income from wage, pension, social security, and other sources</w:t>
            </w:r>
          </w:p>
        </w:tc>
      </w:tr>
      <w:tr w:rsidR="002D1216" w:rsidRPr="002D1216" w14:paraId="7147410E" w14:textId="77777777" w:rsidTr="00FE3472">
        <w:tc>
          <w:tcPr>
            <w:tcW w:w="0" w:type="auto"/>
            <w:shd w:val="clear" w:color="auto" w:fill="FFFFFF" w:themeFill="background1"/>
            <w:tcMar>
              <w:top w:w="60" w:type="dxa"/>
              <w:left w:w="60" w:type="dxa"/>
              <w:bottom w:w="60" w:type="dxa"/>
              <w:right w:w="60" w:type="dxa"/>
            </w:tcMar>
            <w:vAlign w:val="center"/>
          </w:tcPr>
          <w:p w14:paraId="308C8CEB" w14:textId="77777777" w:rsidR="002D1216" w:rsidRPr="002D1216" w:rsidRDefault="002D1216" w:rsidP="002B0F75">
            <w:pPr>
              <w:spacing w:after="0" w:line="360" w:lineRule="auto"/>
              <w:rPr>
                <w:rFonts w:ascii="Cambria" w:eastAsia="Calibri" w:hAnsi="Cambria" w:cs="Calibri"/>
                <w:color w:val="000000"/>
                <w:sz w:val="24"/>
                <w:szCs w:val="24"/>
              </w:rPr>
            </w:pPr>
            <w:hyperlink r:id="rId115" w:history="1">
              <w:r w:rsidRPr="002D1216">
                <w:rPr>
                  <w:rStyle w:val="Hyperlink"/>
                  <w:rFonts w:ascii="Cambria" w:eastAsia="Calibri" w:hAnsi="Cambria" w:cs="Calibri"/>
                  <w:sz w:val="24"/>
                  <w:szCs w:val="24"/>
                </w:rPr>
                <w:t>B1PB1</w:t>
              </w:r>
            </w:hyperlink>
            <w:r w:rsidRPr="002D1216">
              <w:rPr>
                <w:rFonts w:ascii="Cambria" w:eastAsia="Calibri" w:hAnsi="Cambria" w:cs="Calibri"/>
                <w:color w:val="000000"/>
                <w:sz w:val="24"/>
                <w:szCs w:val="24"/>
              </w:rPr>
              <w:t>/</w:t>
            </w:r>
            <w:hyperlink r:id="rId116" w:history="1">
              <w:r w:rsidRPr="002D1216">
                <w:rPr>
                  <w:rStyle w:val="Hyperlink"/>
                  <w:rFonts w:ascii="Cambria" w:eastAsia="Calibri" w:hAnsi="Cambria" w:cs="Calibri"/>
                  <w:sz w:val="24"/>
                  <w:szCs w:val="24"/>
                </w:rPr>
                <w:t>BACB1</w:t>
              </w:r>
            </w:hyperlink>
          </w:p>
        </w:tc>
        <w:tc>
          <w:tcPr>
            <w:tcW w:w="6986" w:type="dxa"/>
            <w:shd w:val="clear" w:color="auto" w:fill="FFFFFF" w:themeFill="background1"/>
            <w:tcMar>
              <w:top w:w="60" w:type="dxa"/>
              <w:left w:w="60" w:type="dxa"/>
              <w:bottom w:w="60" w:type="dxa"/>
              <w:right w:w="60" w:type="dxa"/>
            </w:tcMar>
            <w:vAlign w:val="center"/>
          </w:tcPr>
          <w:p w14:paraId="1B06DC8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Highest level of education completed</w:t>
            </w:r>
          </w:p>
        </w:tc>
      </w:tr>
      <w:tr w:rsidR="002D1216" w:rsidRPr="002D1216" w14:paraId="205D757E" w14:textId="77777777" w:rsidTr="00FE3472">
        <w:tc>
          <w:tcPr>
            <w:tcW w:w="0" w:type="auto"/>
            <w:tcBorders>
              <w:bottom w:val="single" w:sz="6" w:space="0" w:color="auto"/>
            </w:tcBorders>
            <w:shd w:val="clear" w:color="auto" w:fill="FFFFFF" w:themeFill="background1"/>
            <w:tcMar>
              <w:top w:w="60" w:type="dxa"/>
              <w:left w:w="60" w:type="dxa"/>
              <w:bottom w:w="60" w:type="dxa"/>
              <w:right w:w="60" w:type="dxa"/>
            </w:tcMar>
            <w:vAlign w:val="center"/>
          </w:tcPr>
          <w:p w14:paraId="5597B101" w14:textId="77777777" w:rsidR="002D1216" w:rsidRPr="002D1216" w:rsidRDefault="002D1216" w:rsidP="002B0F75">
            <w:pPr>
              <w:spacing w:after="0" w:line="360" w:lineRule="auto"/>
              <w:rPr>
                <w:rFonts w:ascii="Cambria" w:eastAsia="Calibri" w:hAnsi="Cambria" w:cs="Calibri"/>
                <w:color w:val="000000"/>
                <w:sz w:val="24"/>
                <w:szCs w:val="24"/>
              </w:rPr>
            </w:pPr>
            <w:hyperlink r:id="rId117" w:history="1">
              <w:r w:rsidRPr="002D1216">
                <w:rPr>
                  <w:rStyle w:val="Hyperlink"/>
                  <w:rFonts w:ascii="Cambria" w:eastAsia="Calibri" w:hAnsi="Cambria" w:cs="Calibri"/>
                  <w:sz w:val="24"/>
                  <w:szCs w:val="24"/>
                </w:rPr>
                <w:t>B1PF7A</w:t>
              </w:r>
            </w:hyperlink>
            <w:r w:rsidRPr="002D1216">
              <w:rPr>
                <w:rFonts w:ascii="Cambria" w:eastAsia="Calibri" w:hAnsi="Cambria" w:cs="Calibri"/>
                <w:color w:val="000000"/>
                <w:sz w:val="24"/>
                <w:szCs w:val="24"/>
              </w:rPr>
              <w:t>/</w:t>
            </w:r>
            <w:hyperlink r:id="rId118" w:history="1">
              <w:r w:rsidRPr="002D1216">
                <w:rPr>
                  <w:rStyle w:val="Hyperlink"/>
                  <w:rFonts w:ascii="Cambria" w:eastAsia="Calibri" w:hAnsi="Cambria" w:cs="Calibri"/>
                  <w:sz w:val="24"/>
                  <w:szCs w:val="24"/>
                </w:rPr>
                <w:t>BACF7A</w:t>
              </w:r>
            </w:hyperlink>
          </w:p>
        </w:tc>
        <w:tc>
          <w:tcPr>
            <w:tcW w:w="6986" w:type="dxa"/>
            <w:tcBorders>
              <w:bottom w:val="single" w:sz="6" w:space="0" w:color="auto"/>
            </w:tcBorders>
            <w:shd w:val="clear" w:color="auto" w:fill="FFFFFF" w:themeFill="background1"/>
            <w:tcMar>
              <w:top w:w="60" w:type="dxa"/>
              <w:left w:w="60" w:type="dxa"/>
              <w:bottom w:w="60" w:type="dxa"/>
              <w:right w:w="60" w:type="dxa"/>
            </w:tcMar>
            <w:vAlign w:val="center"/>
          </w:tcPr>
          <w:p w14:paraId="376E5FC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Racial origins (#1)</w:t>
            </w:r>
          </w:p>
        </w:tc>
      </w:tr>
    </w:tbl>
    <w:p w14:paraId="3C71239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*Many pain measures were duplicated across the series of MIDUS projects and follow-ups, and some control variables were stored separately across the MIDUS projects, which is why some variables have multiple ID numbers for the same variable row.</w:t>
      </w:r>
    </w:p>
    <w:p w14:paraId="5B6F0FE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“Household income” total included different types and different sources, based on sum of original income variables (= [B1SG8AX], [B1SG8BX], [B1SG8CX], [B1SG9AX], [B1SG9BX], [B1SG9CX], [B1SG10AX], [B1SG10BX], [B1SG10CX], AND [B1SG12]). “Total income” personally was for the respondent only, based on original income variables (= sum of [B1SG8AX], [B1SG8BX], AND [B1SG8CX]).</w:t>
      </w:r>
    </w:p>
    <w:p w14:paraId="4EC1E5A9"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specific pain diagnosis given by physician (B1SA23A/ B1SA23D) are shown in Supplemental Material, </w:t>
      </w:r>
      <w:r w:rsidRPr="002D1216">
        <w:rPr>
          <w:rFonts w:ascii="Cambria" w:eastAsia="Calibri" w:hAnsi="Cambria" w:cs="Calibri"/>
          <w:b/>
          <w:bCs/>
          <w:color w:val="000000"/>
          <w:sz w:val="24"/>
          <w:szCs w:val="24"/>
        </w:rPr>
        <w:t>Table S1</w:t>
      </w:r>
      <w:r w:rsidRPr="002D1216">
        <w:rPr>
          <w:rFonts w:ascii="Cambria" w:eastAsia="Calibri" w:hAnsi="Cambria" w:cs="Calibri"/>
          <w:color w:val="000000"/>
          <w:sz w:val="24"/>
          <w:szCs w:val="24"/>
        </w:rPr>
        <w:t>.</w:t>
      </w:r>
    </w:p>
    <w:p w14:paraId="58FA763F" w14:textId="77777777" w:rsidR="00A70646" w:rsidRPr="002D1216" w:rsidRDefault="00A70646" w:rsidP="002B0F75">
      <w:pPr>
        <w:spacing w:after="0" w:line="360" w:lineRule="auto"/>
        <w:rPr>
          <w:rFonts w:ascii="Cambria" w:eastAsia="Calibri" w:hAnsi="Cambria" w:cs="Calibri"/>
          <w:color w:val="000000"/>
          <w:sz w:val="24"/>
          <w:szCs w:val="24"/>
        </w:rPr>
      </w:pPr>
    </w:p>
    <w:p w14:paraId="7F946EF0" w14:textId="77777777" w:rsid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Analysis plans</w:t>
      </w:r>
    </w:p>
    <w:p w14:paraId="1EE68850" w14:textId="77777777" w:rsidR="00A70646" w:rsidRPr="002D1216" w:rsidRDefault="00A70646" w:rsidP="002B0F75">
      <w:pPr>
        <w:spacing w:after="0" w:line="360" w:lineRule="auto"/>
        <w:rPr>
          <w:rFonts w:ascii="Cambria" w:eastAsia="Calibri" w:hAnsi="Cambria" w:cs="Calibri"/>
          <w:b/>
          <w:bCs/>
          <w:i/>
          <w:iCs/>
          <w:color w:val="000000"/>
          <w:sz w:val="24"/>
          <w:szCs w:val="24"/>
        </w:rPr>
      </w:pPr>
    </w:p>
    <w:p w14:paraId="7C70F8A0" w14:textId="77777777" w:rsid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Objectives 1 and 2</w:t>
      </w:r>
    </w:p>
    <w:p w14:paraId="3B059DD7" w14:textId="77777777" w:rsidR="00A70646" w:rsidRPr="002D1216" w:rsidRDefault="00A70646" w:rsidP="002B0F75">
      <w:pPr>
        <w:spacing w:after="0" w:line="360" w:lineRule="auto"/>
        <w:rPr>
          <w:rFonts w:ascii="Cambria" w:eastAsia="Calibri" w:hAnsi="Cambria" w:cs="Calibri"/>
          <w:i/>
          <w:iCs/>
          <w:color w:val="000000"/>
          <w:sz w:val="24"/>
          <w:szCs w:val="24"/>
        </w:rPr>
      </w:pPr>
    </w:p>
    <w:p w14:paraId="14FF13AE" w14:textId="05C63F70" w:rsidR="002D1216" w:rsidRPr="002D1216" w:rsidRDefault="002D1216" w:rsidP="002B0F75">
      <w:pPr>
        <w:spacing w:after="0" w:line="360" w:lineRule="auto"/>
        <w:rPr>
          <w:rFonts w:ascii="Cambria" w:eastAsia="Calibri" w:hAnsi="Cambria" w:cs="Calibri"/>
          <w:color w:val="000000"/>
          <w:sz w:val="24"/>
          <w:szCs w:val="24"/>
        </w:rPr>
      </w:pPr>
      <w:bookmarkStart w:id="106" w:name="_Hlk137493583"/>
      <w:bookmarkStart w:id="107" w:name="_Hlk158386641"/>
      <w:r w:rsidRPr="002D1216">
        <w:rPr>
          <w:rFonts w:ascii="Cambria" w:eastAsia="Calibri" w:hAnsi="Cambria" w:cs="Calibri"/>
          <w:color w:val="000000"/>
          <w:sz w:val="24"/>
          <w:szCs w:val="24"/>
        </w:rPr>
        <w:lastRenderedPageBreak/>
        <w:t xml:space="preserve">Structural equational </w:t>
      </w:r>
      <w:r w:rsidR="001A5683"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(SEM) to develop a preliminary understanding of relationships between variables was conducted, followed by </w:t>
      </w:r>
      <w:bookmarkStart w:id="108" w:name="_Hlk157353384"/>
      <w:r w:rsidRPr="002D1216">
        <w:rPr>
          <w:rFonts w:ascii="Cambria" w:eastAsia="Calibri" w:hAnsi="Cambria" w:cs="Calibri"/>
          <w:color w:val="000000"/>
          <w:sz w:val="24"/>
          <w:szCs w:val="24"/>
        </w:rPr>
        <w:t xml:space="preserve">general linear </w:t>
      </w:r>
      <w:r w:rsidR="001A5683"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w:t>
      </w:r>
      <w:bookmarkEnd w:id="108"/>
      <w:r w:rsidRPr="002D1216">
        <w:rPr>
          <w:rFonts w:ascii="Cambria" w:eastAsia="Calibri" w:hAnsi="Cambria" w:cs="Calibri"/>
          <w:color w:val="000000"/>
          <w:sz w:val="24"/>
          <w:szCs w:val="24"/>
        </w:rPr>
        <w:t>(GLM) regression</w:t>
      </w:r>
      <w:bookmarkEnd w:id="106"/>
      <w:r w:rsidRPr="002D1216">
        <w:rPr>
          <w:rFonts w:ascii="Cambria" w:eastAsia="Calibri" w:hAnsi="Cambria" w:cs="Calibri"/>
          <w:color w:val="000000"/>
          <w:sz w:val="24"/>
          <w:szCs w:val="24"/>
        </w:rPr>
        <w:t xml:space="preserve"> using the variables in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 xml:space="preserve">. </w:t>
      </w:r>
    </w:p>
    <w:p w14:paraId="18A2AFF0" w14:textId="77777777" w:rsidR="002D1216" w:rsidRPr="002D1216" w:rsidRDefault="002D1216" w:rsidP="002B0F75">
      <w:pPr>
        <w:spacing w:after="0" w:line="360" w:lineRule="auto"/>
        <w:rPr>
          <w:rFonts w:ascii="Cambria" w:eastAsia="Calibri" w:hAnsi="Cambria" w:cs="Calibri"/>
          <w:color w:val="000000"/>
          <w:sz w:val="24"/>
          <w:szCs w:val="24"/>
        </w:rPr>
      </w:pPr>
    </w:p>
    <w:p w14:paraId="344446BB" w14:textId="3E8B3815" w:rsidR="002D1216" w:rsidRPr="002D1216" w:rsidRDefault="002D1216" w:rsidP="002B0F75">
      <w:pPr>
        <w:spacing w:after="0" w:line="360" w:lineRule="auto"/>
        <w:rPr>
          <w:rFonts w:ascii="Cambria" w:eastAsia="Calibri" w:hAnsi="Cambria" w:cs="Calibri"/>
          <w:color w:val="000000"/>
          <w:sz w:val="24"/>
          <w:szCs w:val="24"/>
        </w:rPr>
      </w:pPr>
      <w:bookmarkStart w:id="109" w:name="_Hlk149067669"/>
      <w:r w:rsidRPr="002D1216">
        <w:rPr>
          <w:rFonts w:ascii="Cambria" w:eastAsia="Calibri" w:hAnsi="Cambria" w:cs="Calibri"/>
          <w:color w:val="000000"/>
          <w:sz w:val="24"/>
          <w:szCs w:val="24"/>
        </w:rPr>
        <w:t>All scale variables had their missing values recoded to be “NA” in R (</w:t>
      </w:r>
      <w:r w:rsidR="00A70646">
        <w:rPr>
          <w:rFonts w:ascii="Cambria" w:eastAsia="Calibri" w:hAnsi="Cambria" w:cs="Calibri"/>
          <w:color w:val="000000"/>
          <w:sz w:val="24"/>
          <w:szCs w:val="24"/>
        </w:rPr>
        <w:t>R Core Team 2021</w:t>
      </w:r>
      <w:r w:rsidRPr="002D1216">
        <w:rPr>
          <w:rFonts w:ascii="Cambria" w:eastAsia="Calibri" w:hAnsi="Cambria" w:cs="Calibri"/>
          <w:color w:val="000000"/>
          <w:sz w:val="24"/>
          <w:szCs w:val="24"/>
        </w:rPr>
        <w:t>). For the overall scale variables such as the CTQ scale variables, a value &gt; 97 was recoded to missing, as per the MIDUS data dictionary (</w:t>
      </w:r>
      <w:r w:rsidR="00A70646">
        <w:rPr>
          <w:rFonts w:ascii="Cambria" w:eastAsia="Calibri" w:hAnsi="Cambria" w:cs="Calibri"/>
          <w:color w:val="000000"/>
          <w:sz w:val="24"/>
          <w:szCs w:val="24"/>
        </w:rPr>
        <w:t>Ryff et al. 2021</w:t>
      </w:r>
      <w:r w:rsidRPr="002D1216">
        <w:rPr>
          <w:rFonts w:ascii="Cambria" w:eastAsia="Calibri" w:hAnsi="Cambria" w:cs="Calibri"/>
          <w:color w:val="000000"/>
          <w:sz w:val="24"/>
          <w:szCs w:val="24"/>
        </w:rPr>
        <w:t>). For subscale variables, e.g., on a 1 to 5 Likert scale, a value &gt; 7 was recoded to missing as per the data dictionary. Control variables for income had values 9999998 and -1 and racial origins had value 7 recoded as “NA” as per the MIDUS data dictionary (</w:t>
      </w:r>
      <w:r w:rsidR="00A70646">
        <w:rPr>
          <w:rFonts w:ascii="Cambria" w:eastAsia="Calibri" w:hAnsi="Cambria" w:cs="Calibri"/>
          <w:color w:val="000000"/>
          <w:sz w:val="24"/>
          <w:szCs w:val="24"/>
        </w:rPr>
        <w:t>Ryff et al. 2021</w:t>
      </w:r>
      <w:r w:rsidRPr="002D1216">
        <w:rPr>
          <w:rFonts w:ascii="Cambria" w:eastAsia="Calibri" w:hAnsi="Cambria" w:cs="Calibri"/>
          <w:color w:val="000000"/>
          <w:sz w:val="24"/>
          <w:szCs w:val="24"/>
        </w:rPr>
        <w:t>).</w:t>
      </w:r>
      <w:bookmarkEnd w:id="109"/>
    </w:p>
    <w:p w14:paraId="3A5A44C8" w14:textId="77777777" w:rsidR="002D1216" w:rsidRPr="002D1216" w:rsidRDefault="002D1216" w:rsidP="002B0F75">
      <w:pPr>
        <w:spacing w:after="0" w:line="360" w:lineRule="auto"/>
        <w:rPr>
          <w:rFonts w:ascii="Cambria" w:eastAsia="Calibri" w:hAnsi="Cambria" w:cs="Calibri"/>
          <w:color w:val="000000"/>
          <w:sz w:val="24"/>
          <w:szCs w:val="24"/>
        </w:rPr>
      </w:pPr>
    </w:p>
    <w:p w14:paraId="340D861F" w14:textId="5C986864"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relationships among CAs, anxiety, inflammation, socio-</w:t>
      </w:r>
      <w:bookmarkStart w:id="110" w:name="_Hlk170416607"/>
      <w:r w:rsidR="009E7B39">
        <w:rPr>
          <w:rFonts w:ascii="Cambria" w:eastAsia="Calibri" w:hAnsi="Cambria" w:cs="Calibri"/>
          <w:color w:val="000000"/>
          <w:sz w:val="24"/>
          <w:szCs w:val="24"/>
        </w:rPr>
        <w:t>demographic</w:t>
      </w:r>
      <w:bookmarkEnd w:id="110"/>
      <w:r w:rsidR="009E7B39" w:rsidRPr="002D1216">
        <w:rPr>
          <w:rFonts w:ascii="Cambria" w:eastAsia="Calibri" w:hAnsi="Cambria" w:cs="Calibri"/>
          <w:color w:val="000000"/>
          <w:sz w:val="24"/>
          <w:szCs w:val="24"/>
        </w:rPr>
        <w:t xml:space="preserve"> </w:t>
      </w:r>
      <w:r w:rsidRPr="002D1216">
        <w:rPr>
          <w:rFonts w:ascii="Cambria" w:eastAsia="Calibri" w:hAnsi="Cambria" w:cs="Calibri"/>
          <w:color w:val="000000"/>
          <w:sz w:val="24"/>
          <w:szCs w:val="24"/>
        </w:rPr>
        <w:t xml:space="preserve">factors, and chronic pain were viewed under three methodological lenses to gain insight into different aspects of their relationships. </w:t>
      </w:r>
      <w:bookmarkStart w:id="111" w:name="_Hlk152001376"/>
      <w:r w:rsidRPr="002D1216">
        <w:rPr>
          <w:rFonts w:ascii="Cambria" w:eastAsia="Calibri" w:hAnsi="Cambria" w:cs="Calibri"/>
          <w:color w:val="000000"/>
          <w:sz w:val="24"/>
          <w:szCs w:val="24"/>
        </w:rPr>
        <w:t>The correlation analysis computed Spearman correlation coefficients on each possible pair of variables to show how strongly and in what direction each pair was related. This provided initial insight into variable relationships and can be used to inform and cross-check the structural equation model-building process and results and the regressions. The Structural Equation Model (SEM) explored and visualised hypothetical relationships among observed and unobserved (latent) variables. It shows how observed and latent variables for CAs, anxiety, inflammation, and chronic pain, and observed socioeconomic variables directionally affected each other</w:t>
      </w:r>
      <w:bookmarkEnd w:id="107"/>
      <w:r w:rsidRPr="002D1216">
        <w:rPr>
          <w:rFonts w:ascii="Cambria" w:eastAsia="Calibri" w:hAnsi="Cambria" w:cs="Calibri"/>
          <w:color w:val="000000"/>
          <w:sz w:val="24"/>
          <w:szCs w:val="24"/>
        </w:rPr>
        <w:t>, something not possible with correlation or regression methods (</w:t>
      </w:r>
      <w:r w:rsidR="00A70646">
        <w:rPr>
          <w:rFonts w:ascii="Cambria" w:eastAsia="Calibri" w:hAnsi="Cambria" w:cs="Calibri"/>
          <w:color w:val="000000"/>
          <w:sz w:val="24"/>
          <w:szCs w:val="24"/>
        </w:rPr>
        <w:t>Baron &amp; Kenny 1986; Hopwood 2007</w:t>
      </w:r>
      <w:r w:rsidRPr="002D1216">
        <w:rPr>
          <w:rFonts w:ascii="Cambria" w:eastAsia="Calibri" w:hAnsi="Cambria" w:cs="Calibri"/>
          <w:color w:val="000000"/>
          <w:sz w:val="24"/>
          <w:szCs w:val="24"/>
        </w:rPr>
        <w:t xml:space="preserve">), and is why it was selected over more standard mediation and moderation modelling. </w:t>
      </w:r>
      <w:bookmarkStart w:id="112" w:name="_Hlk158386687"/>
      <w:bookmarkEnd w:id="111"/>
      <w:r w:rsidRPr="002D1216">
        <w:rPr>
          <w:rFonts w:ascii="Cambria" w:eastAsia="Calibri" w:hAnsi="Cambria" w:cs="Calibri"/>
          <w:color w:val="000000"/>
          <w:sz w:val="24"/>
          <w:szCs w:val="24"/>
        </w:rPr>
        <w:t>The regression model used independent variables for and specified interactions among CAs, anxiety, inflammation, and socio-</w:t>
      </w:r>
      <w:r w:rsidR="009E7B39">
        <w:rPr>
          <w:rFonts w:ascii="Cambria" w:eastAsia="Calibri" w:hAnsi="Cambria" w:cs="Calibri"/>
          <w:color w:val="000000"/>
          <w:sz w:val="24"/>
          <w:szCs w:val="24"/>
        </w:rPr>
        <w:t>demographic</w:t>
      </w:r>
      <w:r w:rsidRPr="002D1216">
        <w:rPr>
          <w:rFonts w:ascii="Cambria" w:eastAsia="Calibri" w:hAnsi="Cambria" w:cs="Calibri"/>
          <w:color w:val="000000"/>
          <w:sz w:val="24"/>
          <w:szCs w:val="24"/>
        </w:rPr>
        <w:t xml:space="preserve"> factors (controls) to predict chronic pain presence. This allowed for the identification of significant factors which predicted chronic pain presence. An additional exploratory regression on the subset of respondents who experienced chronic pain explored how CAs, anxiety, and inflammation predicted pain medication use for chronic pain. </w:t>
      </w:r>
      <w:bookmarkStart w:id="113" w:name="_Hlk167383629"/>
      <w:r w:rsidRPr="002D1216">
        <w:rPr>
          <w:rFonts w:ascii="Cambria" w:eastAsia="Calibri" w:hAnsi="Cambria" w:cs="Calibri"/>
          <w:color w:val="000000"/>
          <w:sz w:val="24"/>
          <w:szCs w:val="24"/>
        </w:rPr>
        <w:t xml:space="preserve">These three methods overall provided complementary insights. Correlations showed how pairs of variables related to each other, the SEM visualized how all observed and unobserved variables related to each other, and the </w:t>
      </w:r>
      <w:r w:rsidRPr="002D1216">
        <w:rPr>
          <w:rFonts w:ascii="Cambria" w:eastAsia="Calibri" w:hAnsi="Cambria" w:cs="Calibri"/>
          <w:color w:val="000000"/>
          <w:sz w:val="24"/>
          <w:szCs w:val="24"/>
        </w:rPr>
        <w:lastRenderedPageBreak/>
        <w:t xml:space="preserve">regression models identified significant variables and interactions, which predicted chronic pain presence and medication use for chronic pain. </w:t>
      </w:r>
      <w:bookmarkStart w:id="114" w:name="_Hlk158379033"/>
      <w:r w:rsidRPr="002D1216">
        <w:rPr>
          <w:rFonts w:ascii="Cambria" w:eastAsia="Calibri" w:hAnsi="Cambria" w:cs="Calibri"/>
          <w:color w:val="000000"/>
          <w:sz w:val="24"/>
          <w:szCs w:val="24"/>
        </w:rPr>
        <w:t xml:space="preserve">Additional sensitivity analyses </w:t>
      </w:r>
      <w:proofErr w:type="gramStart"/>
      <w:r w:rsidRPr="002D1216">
        <w:rPr>
          <w:rFonts w:ascii="Cambria" w:eastAsia="Calibri" w:hAnsi="Cambria" w:cs="Calibri"/>
          <w:color w:val="000000"/>
          <w:sz w:val="24"/>
          <w:szCs w:val="24"/>
        </w:rPr>
        <w:t>was</w:t>
      </w:r>
      <w:proofErr w:type="gramEnd"/>
      <w:r w:rsidRPr="002D1216">
        <w:rPr>
          <w:rFonts w:ascii="Cambria" w:eastAsia="Calibri" w:hAnsi="Cambria" w:cs="Calibri"/>
          <w:color w:val="000000"/>
          <w:sz w:val="24"/>
          <w:szCs w:val="24"/>
        </w:rPr>
        <w:t xml:space="preserve"> conducted excluding those with CRP levels &gt;10 to test the validity of our model. </w:t>
      </w:r>
      <w:bookmarkEnd w:id="113"/>
      <w:bookmarkEnd w:id="114"/>
      <w:r w:rsidRPr="002D1216">
        <w:rPr>
          <w:rFonts w:ascii="Cambria" w:eastAsia="Calibri" w:hAnsi="Cambria" w:cs="Calibri"/>
          <w:color w:val="000000"/>
          <w:sz w:val="24"/>
          <w:szCs w:val="24"/>
        </w:rPr>
        <w:t xml:space="preserve">Further detailed information outlining how the analyses addressed the objectives are detailed in </w:t>
      </w:r>
      <w:r w:rsidRPr="002D1216">
        <w:rPr>
          <w:rFonts w:ascii="Cambria" w:eastAsia="Calibri" w:hAnsi="Cambria" w:cs="Calibri"/>
          <w:b/>
          <w:bCs/>
          <w:color w:val="000000"/>
          <w:sz w:val="24"/>
          <w:szCs w:val="24"/>
        </w:rPr>
        <w:t>Supplemental Tables S2-S4</w:t>
      </w:r>
      <w:r w:rsidRPr="002D1216">
        <w:rPr>
          <w:rFonts w:ascii="Cambria" w:eastAsia="Calibri" w:hAnsi="Cambria" w:cs="Calibri"/>
          <w:color w:val="000000"/>
          <w:sz w:val="24"/>
          <w:szCs w:val="24"/>
        </w:rPr>
        <w:t xml:space="preserve">. </w:t>
      </w:r>
    </w:p>
    <w:bookmarkEnd w:id="112"/>
    <w:p w14:paraId="05DF2876" w14:textId="77777777" w:rsidR="002D1216" w:rsidRPr="002D1216" w:rsidRDefault="002D1216" w:rsidP="002B0F75">
      <w:pPr>
        <w:spacing w:after="0" w:line="360" w:lineRule="auto"/>
        <w:rPr>
          <w:rFonts w:ascii="Cambria" w:eastAsia="Calibri" w:hAnsi="Cambria" w:cs="Calibri"/>
          <w:i/>
          <w:iCs/>
          <w:color w:val="000000"/>
          <w:sz w:val="24"/>
          <w:szCs w:val="24"/>
        </w:rPr>
      </w:pPr>
    </w:p>
    <w:p w14:paraId="5D1FD822" w14:textId="77777777" w:rsidR="002D1216" w:rsidRP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 xml:space="preserve">SEM specifications </w:t>
      </w:r>
    </w:p>
    <w:p w14:paraId="29B38312" w14:textId="77777777" w:rsidR="002D1216" w:rsidRPr="002D1216" w:rsidRDefault="002D1216" w:rsidP="002B0F75">
      <w:pPr>
        <w:spacing w:after="0" w:line="360" w:lineRule="auto"/>
        <w:rPr>
          <w:rFonts w:ascii="Cambria" w:eastAsia="Calibri" w:hAnsi="Cambria" w:cs="Calibri"/>
          <w:i/>
          <w:iCs/>
          <w:color w:val="000000"/>
          <w:sz w:val="24"/>
          <w:szCs w:val="24"/>
        </w:rPr>
      </w:pPr>
    </w:p>
    <w:p w14:paraId="66B80089" w14:textId="77777777" w:rsidR="002D1216" w:rsidRPr="002D1216" w:rsidRDefault="002D1216" w:rsidP="002B0F75">
      <w:pPr>
        <w:spacing w:after="0" w:line="360" w:lineRule="auto"/>
        <w:rPr>
          <w:rFonts w:ascii="Cambria" w:eastAsia="Calibri" w:hAnsi="Cambria" w:cs="Calibri"/>
          <w:color w:val="000000"/>
          <w:sz w:val="24"/>
          <w:szCs w:val="24"/>
        </w:rPr>
      </w:pPr>
      <w:bookmarkStart w:id="115" w:name="_Hlk157349573"/>
      <w:r w:rsidRPr="6E2346AC">
        <w:rPr>
          <w:rFonts w:ascii="Cambria" w:eastAsia="Calibri" w:hAnsi="Cambria" w:cs="Calibri"/>
          <w:color w:val="000000" w:themeColor="text1"/>
          <w:sz w:val="24"/>
          <w:szCs w:val="24"/>
        </w:rPr>
        <w:t xml:space="preserve">The path diagram of the planned SEM is shown in </w:t>
      </w:r>
      <w:r w:rsidRPr="6E2346AC">
        <w:rPr>
          <w:rFonts w:ascii="Cambria" w:eastAsia="Calibri" w:hAnsi="Cambria" w:cs="Calibri"/>
          <w:b/>
          <w:bCs/>
          <w:color w:val="000000" w:themeColor="text1"/>
          <w:sz w:val="24"/>
          <w:szCs w:val="24"/>
        </w:rPr>
        <w:t>Figure 2</w:t>
      </w:r>
      <w:r w:rsidRPr="6E2346AC">
        <w:rPr>
          <w:rFonts w:ascii="Cambria" w:eastAsia="Calibri" w:hAnsi="Cambria" w:cs="Calibri"/>
          <w:color w:val="000000" w:themeColor="text1"/>
          <w:sz w:val="24"/>
          <w:szCs w:val="24"/>
        </w:rPr>
        <w:t>. In this model the exogenous latent variables for anxiety, physiological response, and CAs predict the endogenous latent variable for chronic pain. Chronic pain was expected to be influenced by anxiety, physiological response, and CAs based on previous studies examining relationships among them (see Background). An individual’s physiological response to stress, level of anxiety, experience of CAs, and feeling of chronic pain cannot be directly measured; hence they were latent variables. Though these variables cannot be directly observed or measured (but are approximated through various measures), they were causally related to appropriate indicator variables present in the MIDUS data (</w:t>
      </w:r>
      <w:r w:rsidRPr="6E2346AC">
        <w:rPr>
          <w:rFonts w:ascii="Cambria" w:eastAsia="Calibri" w:hAnsi="Cambria" w:cs="Calibri"/>
          <w:b/>
          <w:bCs/>
          <w:color w:val="000000" w:themeColor="text1"/>
          <w:sz w:val="24"/>
          <w:szCs w:val="24"/>
        </w:rPr>
        <w:t>Table 1</w:t>
      </w:r>
      <w:r w:rsidRPr="6E2346AC">
        <w:rPr>
          <w:rFonts w:ascii="Cambria" w:eastAsia="Calibri" w:hAnsi="Cambria" w:cs="Calibri"/>
          <w:color w:val="000000" w:themeColor="text1"/>
          <w:sz w:val="24"/>
          <w:szCs w:val="24"/>
        </w:rPr>
        <w:t>), which were designed to measure aspects of the trait of interest.</w:t>
      </w:r>
    </w:p>
    <w:p w14:paraId="3A724CCF" w14:textId="77777777" w:rsidR="001A5683" w:rsidRDefault="001A5683" w:rsidP="002B0F75">
      <w:pPr>
        <w:spacing w:line="360" w:lineRule="auto"/>
        <w:rPr>
          <w:rFonts w:ascii="Cambria" w:eastAsia="Calibri" w:hAnsi="Cambria" w:cs="Calibri"/>
          <w:noProof/>
          <w:color w:val="000000"/>
          <w:sz w:val="24"/>
          <w:szCs w:val="24"/>
        </w:rPr>
      </w:pPr>
      <w:r>
        <w:rPr>
          <w:rFonts w:ascii="Cambria" w:eastAsia="Calibri" w:hAnsi="Cambria" w:cs="Calibri"/>
          <w:noProof/>
          <w:color w:val="000000"/>
          <w:sz w:val="24"/>
          <w:szCs w:val="24"/>
        </w:rPr>
        <w:br w:type="page"/>
      </w:r>
    </w:p>
    <w:p w14:paraId="22F6AE04" w14:textId="77777777" w:rsidR="009B738C" w:rsidRDefault="009B738C" w:rsidP="002B0F75">
      <w:pPr>
        <w:spacing w:after="0" w:line="360" w:lineRule="auto"/>
        <w:rPr>
          <w:rFonts w:ascii="Cambria" w:eastAsia="Calibri" w:hAnsi="Cambria" w:cs="Calibri"/>
          <w:color w:val="000000"/>
          <w:sz w:val="24"/>
          <w:szCs w:val="24"/>
        </w:rPr>
        <w:sectPr w:rsidR="009B738C" w:rsidSect="002B0F75">
          <w:pgSz w:w="12240" w:h="15840"/>
          <w:pgMar w:top="1440" w:right="1440" w:bottom="1440" w:left="1440" w:header="720" w:footer="720" w:gutter="0"/>
          <w:cols w:space="720"/>
          <w:docGrid w:linePitch="360"/>
        </w:sectPr>
      </w:pPr>
    </w:p>
    <w:p w14:paraId="3BF96E0C" w14:textId="2B0002A5"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noProof/>
          <w:color w:val="000000"/>
          <w:sz w:val="24"/>
          <w:szCs w:val="24"/>
        </w:rPr>
        <w:lastRenderedPageBreak/>
        <w:drawing>
          <wp:inline distT="0" distB="0" distL="0" distR="0" wp14:anchorId="17D1167A" wp14:editId="16940F1B">
            <wp:extent cx="7896203" cy="5527343"/>
            <wp:effectExtent l="0" t="0" r="0" b="0"/>
            <wp:docPr id="990500865"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00865" name="Picture 1" descr="A diagram of a flowchart&#10;&#10;Description automatically generated"/>
                    <pic:cNvPicPr/>
                  </pic:nvPicPr>
                  <pic:blipFill>
                    <a:blip r:embed="rId119" cstate="print">
                      <a:extLst>
                        <a:ext uri="{BEBA8EAE-BF5A-486C-A8C5-ECC9F3942E4B}">
                          <a14:imgProps xmlns:a14="http://schemas.microsoft.com/office/drawing/2010/main">
                            <a14:imgLayer r:embed="rId120">
                              <a14:imgEffect>
                                <a14:sharpenSoften amount="9000"/>
                              </a14:imgEffect>
                              <a14:imgEffect>
                                <a14:brightnessContrast contrast="5000"/>
                              </a14:imgEffect>
                            </a14:imgLayer>
                          </a14:imgProps>
                        </a:ext>
                        <a:ext uri="{28A0092B-C50C-407E-A947-70E740481C1C}">
                          <a14:useLocalDpi xmlns:a14="http://schemas.microsoft.com/office/drawing/2010/main" val="0"/>
                        </a:ext>
                      </a:extLst>
                    </a:blip>
                    <a:stretch>
                      <a:fillRect/>
                    </a:stretch>
                  </pic:blipFill>
                  <pic:spPr>
                    <a:xfrm>
                      <a:off x="0" y="0"/>
                      <a:ext cx="7915829" cy="5541081"/>
                    </a:xfrm>
                    <a:prstGeom prst="rect">
                      <a:avLst/>
                    </a:prstGeom>
                  </pic:spPr>
                </pic:pic>
              </a:graphicData>
            </a:graphic>
          </wp:inline>
        </w:drawing>
      </w:r>
    </w:p>
    <w:p w14:paraId="6AFF99E0"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Figure 2: Path diagram of the planned SEM</w:t>
      </w:r>
    </w:p>
    <w:p w14:paraId="6C7E84E0" w14:textId="77777777" w:rsidR="009B738C" w:rsidRDefault="009B738C" w:rsidP="002B0F75">
      <w:pPr>
        <w:spacing w:line="360" w:lineRule="auto"/>
        <w:rPr>
          <w:rFonts w:ascii="Cambria" w:eastAsia="Calibri" w:hAnsi="Cambria" w:cs="Calibri"/>
          <w:color w:val="000000"/>
          <w:sz w:val="24"/>
          <w:szCs w:val="24"/>
        </w:rPr>
        <w:sectPr w:rsidR="009B738C" w:rsidSect="002B0F75">
          <w:pgSz w:w="15840" w:h="12240" w:orient="landscape"/>
          <w:pgMar w:top="1440" w:right="1440" w:bottom="1440" w:left="1440" w:header="720" w:footer="720" w:gutter="0"/>
          <w:cols w:space="720"/>
          <w:docGrid w:linePitch="360"/>
        </w:sectPr>
      </w:pPr>
    </w:p>
    <w:p w14:paraId="3D5E056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The MIDUS indicator variable CRP was closely related to the physiological response to stress, the STAI to anxiety, and the reported experience of chronic pain to diagnosed chronic pain or a chronic pain disease/condition, so a single measured variable for each of these latent factors was appropriate. CAs can represent a wide variety of experiences, so a variety of representative measured variables from the MIDUS data were chosen: CTQ: Emotional Abuse, CTQ: Physical Abuse, CTQ: Sexual Abuse, CTQ: Emotional Neglect, CTQ: Physical Neglect, and CTQ: Minimization/Denial. The scale of latent factor variables is assumed and handled to be the same as the scale of the corresponding indicator variables. In the case of more than one indicator variable (such as the CA latent factor), the CTQ indicator variables are all on the same 5-point Likert scale, so this assumption held.</w:t>
      </w:r>
    </w:p>
    <w:p w14:paraId="5B014A2E" w14:textId="77777777" w:rsidR="002D1216" w:rsidRPr="002D1216" w:rsidRDefault="002D1216" w:rsidP="002B0F75">
      <w:pPr>
        <w:spacing w:after="0" w:line="360" w:lineRule="auto"/>
        <w:rPr>
          <w:rFonts w:ascii="Cambria" w:eastAsia="Calibri" w:hAnsi="Cambria" w:cs="Calibri"/>
          <w:color w:val="000000"/>
          <w:sz w:val="24"/>
          <w:szCs w:val="24"/>
        </w:rPr>
      </w:pPr>
    </w:p>
    <w:p w14:paraId="5B87AEC9"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Indicator variables were included in the model as per their MIDUS data dictionary definition, with the exception of the reported experience of chronic pain variable. This variable was derived from the series of pain variables in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 It was modelled as a binary variable that indicated if the participant did or did not have chronic pain, as detailed in the Measures description for pain.</w:t>
      </w:r>
    </w:p>
    <w:p w14:paraId="1C05CE39" w14:textId="77777777" w:rsidR="00A70646" w:rsidRPr="002D1216" w:rsidRDefault="00A70646" w:rsidP="002B0F75">
      <w:pPr>
        <w:spacing w:after="0" w:line="360" w:lineRule="auto"/>
        <w:rPr>
          <w:rFonts w:ascii="Cambria" w:eastAsia="Calibri" w:hAnsi="Cambria" w:cs="Calibri"/>
          <w:color w:val="000000"/>
          <w:sz w:val="24"/>
          <w:szCs w:val="24"/>
        </w:rPr>
      </w:pPr>
    </w:p>
    <w:p w14:paraId="7F493A52" w14:textId="40BBF873"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In addition to the latent factors and associated indicator variables, socio-</w:t>
      </w:r>
      <w:r w:rsidR="009E7B39" w:rsidRPr="009E7B39">
        <w:rPr>
          <w:rFonts w:ascii="Cambria" w:eastAsia="Calibri" w:hAnsi="Cambria" w:cs="Calibri"/>
          <w:color w:val="000000"/>
          <w:sz w:val="24"/>
          <w:szCs w:val="24"/>
        </w:rPr>
        <w:t>demographic</w:t>
      </w:r>
      <w:r w:rsidR="009E7B39" w:rsidRPr="009E7B39" w:rsidDel="009E7B39">
        <w:rPr>
          <w:rFonts w:ascii="Cambria" w:eastAsia="Calibri" w:hAnsi="Cambria" w:cs="Calibri"/>
          <w:color w:val="000000"/>
          <w:sz w:val="24"/>
          <w:szCs w:val="24"/>
        </w:rPr>
        <w:t xml:space="preserve"> </w:t>
      </w:r>
      <w:r w:rsidRPr="002D1216">
        <w:rPr>
          <w:rFonts w:ascii="Cambria" w:eastAsia="Calibri" w:hAnsi="Cambria" w:cs="Calibri"/>
          <w:color w:val="000000"/>
          <w:sz w:val="24"/>
          <w:szCs w:val="24"/>
        </w:rPr>
        <w:t>control variables available in the MIDUS data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 xml:space="preserve">) were included as predictors of inflammation (CRP). These control variables were linked to CRP and the physiological response to chronic pain as an individual with worse socioeconomic circumstances was expected to have a higher degree of inflammation. The control variable for race was coded as binary variables (e.g. ‘is white race’ and ‘is black race’, the two most common categories in the data), as categorical variables with multiple categories cannot be included easily in an SEM. </w:t>
      </w:r>
    </w:p>
    <w:p w14:paraId="740EA418" w14:textId="77777777" w:rsidR="00A70646" w:rsidRPr="002D1216" w:rsidRDefault="00A70646" w:rsidP="002B0F75">
      <w:pPr>
        <w:spacing w:after="0" w:line="360" w:lineRule="auto"/>
        <w:rPr>
          <w:rFonts w:ascii="Cambria" w:eastAsia="Calibri" w:hAnsi="Cambria" w:cs="Calibri"/>
          <w:color w:val="000000"/>
          <w:sz w:val="24"/>
          <w:szCs w:val="24"/>
        </w:rPr>
      </w:pPr>
    </w:p>
    <w:p w14:paraId="374F4BCF" w14:textId="7A05A17B"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SEM was built with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package version 0.6 (</w:t>
      </w:r>
      <w:r w:rsidR="00A70646">
        <w:rPr>
          <w:rFonts w:ascii="Cambria" w:eastAsia="Calibri" w:hAnsi="Cambria" w:cs="Calibri"/>
          <w:color w:val="000000"/>
          <w:sz w:val="24"/>
          <w:szCs w:val="24"/>
        </w:rPr>
        <w:t>Rosseel 2021</w:t>
      </w:r>
      <w:r w:rsidRPr="002D1216">
        <w:rPr>
          <w:rFonts w:ascii="Cambria" w:eastAsia="Calibri" w:hAnsi="Cambria" w:cs="Calibri"/>
          <w:color w:val="000000"/>
          <w:sz w:val="24"/>
          <w:szCs w:val="24"/>
        </w:rPr>
        <w:t>) in the R programming language, version 4.3 (</w:t>
      </w:r>
      <w:r w:rsidR="00A70646">
        <w:rPr>
          <w:rFonts w:ascii="Cambria" w:eastAsia="Calibri" w:hAnsi="Cambria" w:cs="Calibri"/>
          <w:color w:val="000000"/>
          <w:sz w:val="24"/>
          <w:szCs w:val="24"/>
        </w:rPr>
        <w:t>R Core Team 2021</w:t>
      </w:r>
      <w:r w:rsidRPr="002D1216">
        <w:rPr>
          <w:rFonts w:ascii="Cambria" w:eastAsia="Calibri" w:hAnsi="Cambria" w:cs="Calibri"/>
          <w:color w:val="000000"/>
          <w:sz w:val="24"/>
          <w:szCs w:val="24"/>
        </w:rPr>
        <w:t xml:space="preserve">). Missing data in the control and measured variables was coded according to the method detailed in the Measures and Variables sections (p8–14). The entire MIDUS sample of 1,255 participants as detailed in the Dataset and Participants section was used, with cases missing any indicator or control </w:t>
      </w:r>
      <w:r w:rsidRPr="002D1216">
        <w:rPr>
          <w:rFonts w:ascii="Cambria" w:eastAsia="Calibri" w:hAnsi="Cambria" w:cs="Calibri"/>
          <w:color w:val="000000"/>
          <w:sz w:val="24"/>
          <w:szCs w:val="24"/>
        </w:rPr>
        <w:lastRenderedPageBreak/>
        <w:t>variables dropped from the sample. Any records where one or more parameters were missing were dropped from the regression model. For outliers in the overall scale variables such as the CTQ, a value &gt; 97 was recoded to missing, as per the MIDUS data dictionary (</w:t>
      </w:r>
      <w:r w:rsidR="00A70646">
        <w:rPr>
          <w:rFonts w:ascii="Cambria" w:eastAsia="Calibri" w:hAnsi="Cambria" w:cs="Calibri"/>
          <w:color w:val="000000"/>
          <w:sz w:val="24"/>
          <w:szCs w:val="24"/>
        </w:rPr>
        <w:t>Ryff et al. 2021</w:t>
      </w:r>
      <w:r w:rsidRPr="002D1216">
        <w:rPr>
          <w:rFonts w:ascii="Cambria" w:eastAsia="Calibri" w:hAnsi="Cambria" w:cs="Calibri"/>
          <w:color w:val="000000"/>
          <w:sz w:val="24"/>
          <w:szCs w:val="24"/>
        </w:rPr>
        <w:t>). For subscale variables, e.g., on a 1 to 5 Likert scale, a value &gt; 7 was recoded to missing as per the data dictionary. Control variables for income having values 9999998 and -1 and racial origins having value 7 was recoded as “NA” as per the MIDUS data dictionary (</w:t>
      </w:r>
      <w:r w:rsidR="00A70646">
        <w:rPr>
          <w:rFonts w:ascii="Cambria" w:eastAsia="Calibri" w:hAnsi="Cambria" w:cs="Calibri"/>
          <w:color w:val="000000"/>
          <w:sz w:val="24"/>
          <w:szCs w:val="24"/>
        </w:rPr>
        <w:t>Ryff et al. 2021</w:t>
      </w:r>
      <w:r w:rsidRPr="002D1216">
        <w:rPr>
          <w:rFonts w:ascii="Cambria" w:eastAsia="Calibri" w:hAnsi="Cambria" w:cs="Calibri"/>
          <w:color w:val="000000"/>
          <w:sz w:val="24"/>
          <w:szCs w:val="24"/>
        </w:rPr>
        <w:t>).</w:t>
      </w:r>
    </w:p>
    <w:p w14:paraId="781C0CF4" w14:textId="77777777" w:rsidR="002D1216" w:rsidRPr="002D1216" w:rsidRDefault="002D1216" w:rsidP="002B0F75">
      <w:pPr>
        <w:spacing w:after="0" w:line="360" w:lineRule="auto"/>
        <w:rPr>
          <w:rFonts w:ascii="Cambria" w:eastAsia="Calibri" w:hAnsi="Cambria" w:cs="Calibri"/>
          <w:color w:val="000000"/>
          <w:sz w:val="24"/>
          <w:szCs w:val="24"/>
        </w:rPr>
      </w:pPr>
    </w:p>
    <w:bookmarkEnd w:id="115"/>
    <w:p w14:paraId="6729D4CA" w14:textId="32E60FDB"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w:t>
      </w:r>
      <w:bookmarkStart w:id="116" w:name="_Hlk167128393"/>
      <w:r w:rsidRPr="002D1216">
        <w:rPr>
          <w:rFonts w:ascii="Cambria" w:eastAsia="Calibri" w:hAnsi="Cambria" w:cs="Calibri"/>
          <w:color w:val="000000"/>
          <w:sz w:val="24"/>
          <w:szCs w:val="24"/>
        </w:rPr>
        <w:t>maximum likelihood parameter estimation method</w:t>
      </w:r>
      <w:bookmarkEnd w:id="116"/>
      <w:r w:rsidRPr="002D1216">
        <w:rPr>
          <w:rFonts w:ascii="Cambria" w:eastAsia="Calibri" w:hAnsi="Cambria" w:cs="Calibri"/>
          <w:color w:val="000000"/>
          <w:sz w:val="24"/>
          <w:szCs w:val="24"/>
        </w:rPr>
        <w:t xml:space="preserve"> built into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package was used, as it is suitable for all-numerical data (including binary and Likert-scaled variables which will be coded numerically as integers) with complete cases (</w:t>
      </w:r>
      <w:r w:rsidR="00A70646">
        <w:rPr>
          <w:rFonts w:ascii="Cambria" w:eastAsia="Calibri" w:hAnsi="Cambria" w:cs="Calibri"/>
          <w:color w:val="000000"/>
          <w:sz w:val="24"/>
          <w:szCs w:val="24"/>
        </w:rPr>
        <w:t>Olsson et al. 2000</w:t>
      </w:r>
      <w:r w:rsidRPr="002D1216">
        <w:rPr>
          <w:rFonts w:ascii="Cambria" w:eastAsia="Calibri" w:hAnsi="Cambria" w:cs="Calibri"/>
          <w:color w:val="000000"/>
          <w:sz w:val="24"/>
          <w:szCs w:val="24"/>
        </w:rPr>
        <w:t>). The maximum likelihood method assumes data is multivariate normally distributed, and this assumption was tested on the MIDUS data. As the data were found to not be normally distributed, the ‘robust’ version of the maximum likelihood parameter estimation method was used, which does not rely on the normality assumption and provides robust standard errors and a scaled test statistic (</w:t>
      </w:r>
      <w:r w:rsidR="00A70646">
        <w:rPr>
          <w:rFonts w:ascii="Cambria" w:eastAsia="Calibri" w:hAnsi="Cambria" w:cs="Calibri"/>
          <w:color w:val="000000"/>
          <w:sz w:val="24"/>
          <w:szCs w:val="24"/>
        </w:rPr>
        <w:t>Ke-Hai &amp; Bentler 2007</w:t>
      </w:r>
      <w:r w:rsidRPr="002D1216">
        <w:rPr>
          <w:rFonts w:ascii="Cambria" w:eastAsia="Calibri" w:hAnsi="Cambria" w:cs="Calibri"/>
          <w:color w:val="000000"/>
          <w:sz w:val="24"/>
          <w:szCs w:val="24"/>
        </w:rPr>
        <w:t>).</w:t>
      </w:r>
    </w:p>
    <w:p w14:paraId="4AD535CE" w14:textId="77777777" w:rsidR="002D1216" w:rsidRPr="002D1216" w:rsidRDefault="002D1216" w:rsidP="002B0F75">
      <w:pPr>
        <w:spacing w:after="0" w:line="360" w:lineRule="auto"/>
        <w:rPr>
          <w:rFonts w:ascii="Cambria" w:eastAsia="Calibri" w:hAnsi="Cambria" w:cs="Calibri"/>
          <w:color w:val="000000"/>
          <w:sz w:val="24"/>
          <w:szCs w:val="24"/>
        </w:rPr>
      </w:pPr>
    </w:p>
    <w:p w14:paraId="707DF34E" w14:textId="77777777" w:rsidR="002D1216" w:rsidRP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Exploratory objective</w:t>
      </w:r>
    </w:p>
    <w:p w14:paraId="2AEBDE84" w14:textId="77777777" w:rsidR="002D1216" w:rsidRPr="002D1216" w:rsidRDefault="002D1216" w:rsidP="002B0F75">
      <w:pPr>
        <w:spacing w:after="0" w:line="360" w:lineRule="auto"/>
        <w:rPr>
          <w:rFonts w:ascii="Cambria" w:eastAsia="Calibri" w:hAnsi="Cambria" w:cs="Calibri"/>
          <w:i/>
          <w:iCs/>
          <w:color w:val="000000"/>
          <w:sz w:val="24"/>
          <w:szCs w:val="24"/>
        </w:rPr>
      </w:pPr>
    </w:p>
    <w:p w14:paraId="35C42613" w14:textId="77777777" w:rsidR="002D1216" w:rsidRDefault="002D1216" w:rsidP="002B0F75">
      <w:pPr>
        <w:spacing w:after="0" w:line="360" w:lineRule="auto"/>
        <w:rPr>
          <w:rFonts w:ascii="Cambria" w:eastAsia="Calibri" w:hAnsi="Cambria" w:cs="Calibri"/>
          <w:color w:val="000000"/>
          <w:sz w:val="24"/>
          <w:szCs w:val="24"/>
        </w:rPr>
      </w:pPr>
      <w:bookmarkStart w:id="117" w:name="_Hlk137493703"/>
      <w:r w:rsidRPr="002D1216">
        <w:rPr>
          <w:rFonts w:ascii="Cambria" w:eastAsia="Calibri" w:hAnsi="Cambria" w:cs="Calibri"/>
          <w:color w:val="000000"/>
          <w:sz w:val="24"/>
          <w:szCs w:val="24"/>
        </w:rPr>
        <w:t xml:space="preserve">All variables imported into the primary objectives analysis dataset was used as possible independent variables for the pain medication regression. </w:t>
      </w:r>
      <w:bookmarkStart w:id="118" w:name="_Hlk148266507"/>
      <w:bookmarkEnd w:id="117"/>
      <w:r w:rsidRPr="002D1216">
        <w:rPr>
          <w:rFonts w:ascii="Cambria" w:eastAsia="Calibri" w:hAnsi="Cambria" w:cs="Calibri"/>
          <w:color w:val="000000"/>
          <w:sz w:val="24"/>
          <w:szCs w:val="24"/>
        </w:rPr>
        <w:t>A</w:t>
      </w:r>
      <w:bookmarkStart w:id="119" w:name="_Hlk136689126"/>
      <w:r w:rsidRPr="002D1216">
        <w:rPr>
          <w:rFonts w:ascii="Cambria" w:eastAsia="Calibri" w:hAnsi="Cambria" w:cs="Calibri"/>
          <w:color w:val="000000"/>
          <w:sz w:val="24"/>
          <w:szCs w:val="24"/>
        </w:rPr>
        <w:t>ll scale and subscales variables were recoded per the data dictionary</w:t>
      </w:r>
      <w:bookmarkEnd w:id="118"/>
      <w:r w:rsidRPr="002D1216">
        <w:rPr>
          <w:rFonts w:ascii="Cambria" w:eastAsia="Calibri" w:hAnsi="Cambria" w:cs="Calibri"/>
          <w:color w:val="000000"/>
          <w:sz w:val="24"/>
          <w:szCs w:val="24"/>
        </w:rPr>
        <w:t xml:space="preserve"> as previously described in the analysis plans for objective 1 and 2. </w:t>
      </w:r>
      <w:bookmarkEnd w:id="119"/>
      <w:r w:rsidRPr="002D1216">
        <w:rPr>
          <w:rFonts w:ascii="Cambria" w:eastAsia="Calibri" w:hAnsi="Cambria" w:cs="Calibri"/>
          <w:color w:val="000000"/>
          <w:sz w:val="24"/>
          <w:szCs w:val="24"/>
        </w:rPr>
        <w:t xml:space="preserve">Gender was recoded to a factor variable with levels Male and Female instead of numeric values. The chronic pain presence variable was derived as per the primary dataset. </w:t>
      </w:r>
    </w:p>
    <w:p w14:paraId="485AD1BB" w14:textId="77777777" w:rsidR="00A70646" w:rsidRPr="002D1216" w:rsidRDefault="00A70646" w:rsidP="002B0F75">
      <w:pPr>
        <w:spacing w:after="0" w:line="360" w:lineRule="auto"/>
        <w:rPr>
          <w:rFonts w:ascii="Cambria" w:eastAsia="Calibri" w:hAnsi="Cambria" w:cs="Calibri"/>
          <w:color w:val="000000"/>
          <w:sz w:val="24"/>
          <w:szCs w:val="24"/>
        </w:rPr>
      </w:pPr>
    </w:p>
    <w:p w14:paraId="40F5829D"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dependent variable (“did the person use medication for more than 3 months for chronic pain?”) was derived from several medication chart variables. Specifically, a person met criteria as having taken long term medication for chronic pain: if a person had taken any prescription, alternative, or over the counter medicine; or if the medicine was taken </w:t>
      </w:r>
      <w:r w:rsidRPr="002D1216">
        <w:rPr>
          <w:rFonts w:ascii="Cambria" w:eastAsia="Calibri" w:hAnsi="Cambria" w:cs="Calibri"/>
          <w:color w:val="000000"/>
          <w:sz w:val="24"/>
          <w:szCs w:val="24"/>
        </w:rPr>
        <w:lastRenderedPageBreak/>
        <w:t xml:space="preserve">with a duration for &gt; 3 months, and taken for </w:t>
      </w:r>
      <w:bookmarkStart w:id="120" w:name="_Hlk157353507"/>
      <w:r w:rsidRPr="002D1216">
        <w:rPr>
          <w:rFonts w:ascii="Cambria" w:eastAsia="Calibri" w:hAnsi="Cambria" w:cs="Calibri"/>
          <w:color w:val="000000"/>
          <w:sz w:val="24"/>
          <w:szCs w:val="24"/>
        </w:rPr>
        <w:t>ICD9</w:t>
      </w:r>
      <w:bookmarkEnd w:id="120"/>
      <w:r w:rsidRPr="002D1216">
        <w:rPr>
          <w:rFonts w:ascii="Cambria" w:eastAsia="Calibri" w:hAnsi="Cambria" w:cs="Calibri"/>
          <w:color w:val="000000"/>
          <w:sz w:val="24"/>
          <w:szCs w:val="24"/>
        </w:rPr>
        <w:t xml:space="preserve"> code 338 (“pain, not elsewhere classified”).</w:t>
      </w:r>
    </w:p>
    <w:p w14:paraId="0F921316" w14:textId="77777777" w:rsidR="00A70646" w:rsidRPr="002D1216" w:rsidRDefault="00A70646" w:rsidP="002B0F75">
      <w:pPr>
        <w:spacing w:after="0" w:line="360" w:lineRule="auto"/>
        <w:rPr>
          <w:rFonts w:ascii="Cambria" w:eastAsia="Calibri" w:hAnsi="Cambria" w:cs="Calibri"/>
          <w:color w:val="000000"/>
          <w:sz w:val="24"/>
          <w:szCs w:val="24"/>
        </w:rPr>
      </w:pPr>
    </w:p>
    <w:p w14:paraId="25A0A777" w14:textId="77777777"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final exploratory dataset was constructed by merging the independent and dependent variables </w:t>
      </w:r>
      <w:bookmarkStart w:id="121" w:name="_Hlk148266357"/>
      <w:r w:rsidRPr="002D1216">
        <w:rPr>
          <w:rFonts w:ascii="Cambria" w:eastAsia="Calibri" w:hAnsi="Cambria" w:cs="Calibri"/>
          <w:color w:val="000000"/>
          <w:sz w:val="24"/>
          <w:szCs w:val="24"/>
        </w:rPr>
        <w:t xml:space="preserve">by MIDUS-ID and taking the subset that had chronic pain (chronic pain presence variable = 1), as this was the population of interest. A logistic regression was used to predict the presence of long-term medication use for chronic pain in the subset of the study population which was identified as having chronic pain. Any records where one or more parameters were missing was dropped from the regression model. Model accuracy can be broken into sensitivity (“true positives”, how many people with chronic pain are correctly identified as taking long term medication for chronic pain) and specificity (“true negatives”, how many people with chronic pain are correctly identified as not taking long term medication for chronic pain). </w:t>
      </w:r>
      <w:bookmarkStart w:id="122" w:name="_Hlk158378455"/>
      <w:r w:rsidRPr="002D1216">
        <w:rPr>
          <w:rFonts w:ascii="Cambria" w:eastAsia="Calibri" w:hAnsi="Cambria" w:cs="Calibri"/>
          <w:color w:val="000000"/>
          <w:sz w:val="24"/>
          <w:szCs w:val="24"/>
        </w:rPr>
        <w:t xml:space="preserve">The dependent variable may be imbalanced, as 89% of the 651 available records did not take medication for chronic pain. </w:t>
      </w:r>
      <w:bookmarkStart w:id="123" w:name="_Hlk150433031"/>
      <w:r w:rsidRPr="002D1216">
        <w:rPr>
          <w:rFonts w:ascii="Cambria" w:eastAsia="Calibri" w:hAnsi="Cambria" w:cs="Calibri"/>
          <w:color w:val="000000"/>
          <w:sz w:val="24"/>
          <w:szCs w:val="24"/>
        </w:rPr>
        <w:t>To address this, model performance results were also presented in the form of a confusion matrix (true positives, true negatives, false positives, false negatives) with the sensitivity and specificity statistics reported. The regression model was tuned to maximizing sensitivity (true positives) to ensure that the model correctly predicted people taking long term medication for chronic pain.</w:t>
      </w:r>
      <w:bookmarkEnd w:id="122"/>
      <w:r w:rsidRPr="002D1216">
        <w:rPr>
          <w:rFonts w:ascii="Cambria" w:eastAsia="Calibri" w:hAnsi="Cambria" w:cs="Calibri"/>
          <w:color w:val="000000"/>
          <w:sz w:val="24"/>
          <w:szCs w:val="24"/>
        </w:rPr>
        <w:t xml:space="preserve"> </w:t>
      </w:r>
      <w:bookmarkEnd w:id="121"/>
      <w:bookmarkEnd w:id="123"/>
    </w:p>
    <w:p w14:paraId="6E9A7A6D" w14:textId="77777777" w:rsidR="00A70646" w:rsidRPr="002D1216" w:rsidRDefault="00A70646" w:rsidP="002B0F75">
      <w:pPr>
        <w:spacing w:after="0" w:line="360" w:lineRule="auto"/>
        <w:rPr>
          <w:rFonts w:ascii="Cambria" w:eastAsia="Calibri" w:hAnsi="Cambria" w:cs="Calibri"/>
          <w:color w:val="000000"/>
          <w:sz w:val="24"/>
          <w:szCs w:val="24"/>
        </w:rPr>
      </w:pPr>
    </w:p>
    <w:p w14:paraId="1F453F53" w14:textId="77777777" w:rsid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Rationale for proposed methodology</w:t>
      </w:r>
    </w:p>
    <w:p w14:paraId="24F6C420" w14:textId="77777777" w:rsidR="00A70646" w:rsidRPr="002D1216" w:rsidRDefault="00A70646" w:rsidP="002B0F75">
      <w:pPr>
        <w:spacing w:after="0" w:line="360" w:lineRule="auto"/>
        <w:rPr>
          <w:rFonts w:ascii="Cambria" w:eastAsia="Calibri" w:hAnsi="Cambria" w:cs="Calibri"/>
          <w:i/>
          <w:iCs/>
          <w:color w:val="000000"/>
          <w:sz w:val="24"/>
          <w:szCs w:val="24"/>
        </w:rPr>
      </w:pPr>
    </w:p>
    <w:p w14:paraId="3E9B0461" w14:textId="0637320A"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Although SEM is a less common choice in epidemiological and health studies, a paper by </w:t>
      </w:r>
      <w:bookmarkStart w:id="124" w:name="_Hlk170413495"/>
      <w:r w:rsidRPr="002D1216">
        <w:rPr>
          <w:rFonts w:ascii="Cambria" w:eastAsia="Calibri" w:hAnsi="Cambria" w:cs="Calibri"/>
          <w:color w:val="000000"/>
          <w:sz w:val="24"/>
          <w:szCs w:val="24"/>
        </w:rPr>
        <w:t xml:space="preserve">Beran and </w:t>
      </w:r>
      <w:proofErr w:type="spellStart"/>
      <w:r w:rsidRPr="002D1216">
        <w:rPr>
          <w:rFonts w:ascii="Cambria" w:eastAsia="Calibri" w:hAnsi="Cambria" w:cs="Calibri"/>
          <w:color w:val="000000"/>
          <w:sz w:val="24"/>
          <w:szCs w:val="24"/>
        </w:rPr>
        <w:t>Violato</w:t>
      </w:r>
      <w:proofErr w:type="spellEnd"/>
      <w:r w:rsidRPr="002D1216">
        <w:rPr>
          <w:rFonts w:ascii="Cambria" w:eastAsia="Calibri" w:hAnsi="Cambria" w:cs="Calibri"/>
          <w:color w:val="000000"/>
          <w:sz w:val="24"/>
          <w:szCs w:val="24"/>
        </w:rPr>
        <w:t xml:space="preserve"> (2010) </w:t>
      </w:r>
      <w:bookmarkEnd w:id="124"/>
      <w:r w:rsidRPr="002D1216">
        <w:rPr>
          <w:rFonts w:ascii="Cambria" w:eastAsia="Calibri" w:hAnsi="Cambria" w:cs="Calibri"/>
          <w:color w:val="000000"/>
          <w:sz w:val="24"/>
          <w:szCs w:val="24"/>
        </w:rPr>
        <w:t xml:space="preserve">expressed growing concerns over the paucity of SEM models in epidemiological research, as SEM is able to </w:t>
      </w:r>
      <w:r w:rsidR="00041294" w:rsidRPr="002D1216">
        <w:rPr>
          <w:rFonts w:ascii="Cambria" w:eastAsia="Calibri" w:hAnsi="Cambria" w:cs="Calibri"/>
          <w:color w:val="000000"/>
          <w:sz w:val="24"/>
          <w:szCs w:val="24"/>
        </w:rPr>
        <w:t>analyse</w:t>
      </w:r>
      <w:r w:rsidRPr="002D1216">
        <w:rPr>
          <w:rFonts w:ascii="Cambria" w:eastAsia="Calibri" w:hAnsi="Cambria" w:cs="Calibri"/>
          <w:color w:val="000000"/>
          <w:sz w:val="24"/>
          <w:szCs w:val="24"/>
        </w:rPr>
        <w:t xml:space="preserve"> complex relationships among variables, including posit and testing causal relationships with non-experimental data (allowing researchers to explain the development of phenomena such as disease and health </w:t>
      </w:r>
      <w:r w:rsidR="00041294" w:rsidRPr="002D1216">
        <w:rPr>
          <w:rFonts w:ascii="Cambria" w:eastAsia="Calibri" w:hAnsi="Cambria" w:cs="Calibri"/>
          <w:color w:val="000000"/>
          <w:sz w:val="24"/>
          <w:szCs w:val="24"/>
        </w:rPr>
        <w:t>behaviours</w:t>
      </w:r>
      <w:r w:rsidRPr="002D1216">
        <w:rPr>
          <w:rFonts w:ascii="Cambria" w:eastAsia="Calibri" w:hAnsi="Cambria" w:cs="Calibri"/>
          <w:color w:val="000000"/>
          <w:sz w:val="24"/>
          <w:szCs w:val="24"/>
        </w:rPr>
        <w:t>) (</w:t>
      </w:r>
      <w:r w:rsidR="00A70646" w:rsidRPr="00A70646">
        <w:rPr>
          <w:rFonts w:ascii="Cambria" w:eastAsia="Calibri" w:hAnsi="Cambria" w:cs="Calibri"/>
          <w:color w:val="000000"/>
          <w:sz w:val="24"/>
          <w:szCs w:val="24"/>
        </w:rPr>
        <w:t xml:space="preserve">Beran and </w:t>
      </w:r>
      <w:proofErr w:type="spellStart"/>
      <w:r w:rsidR="00A70646" w:rsidRPr="00A70646">
        <w:rPr>
          <w:rFonts w:ascii="Cambria" w:eastAsia="Calibri" w:hAnsi="Cambria" w:cs="Calibri"/>
          <w:color w:val="000000"/>
          <w:sz w:val="24"/>
          <w:szCs w:val="24"/>
        </w:rPr>
        <w:t>Violato</w:t>
      </w:r>
      <w:proofErr w:type="spellEnd"/>
      <w:r w:rsidR="00A70646" w:rsidRPr="00A70646">
        <w:rPr>
          <w:rFonts w:ascii="Cambria" w:eastAsia="Calibri" w:hAnsi="Cambria" w:cs="Calibri"/>
          <w:color w:val="000000"/>
          <w:sz w:val="24"/>
          <w:szCs w:val="24"/>
        </w:rPr>
        <w:t xml:space="preserve"> 2010</w:t>
      </w:r>
      <w:r w:rsidRPr="002D1216">
        <w:rPr>
          <w:rFonts w:ascii="Cambria" w:eastAsia="Calibri" w:hAnsi="Cambria" w:cs="Calibri"/>
          <w:color w:val="000000"/>
          <w:sz w:val="24"/>
          <w:szCs w:val="24"/>
        </w:rPr>
        <w:t xml:space="preserve">). The various applications of SEM range from analysis of simple relationships between variables to complex analyses of measurement equivalence for first and higher-order constructs, and SEM also provides a flexible framework for developing and </w:t>
      </w:r>
      <w:r w:rsidR="00041294" w:rsidRPr="002D1216">
        <w:rPr>
          <w:rFonts w:ascii="Cambria" w:eastAsia="Calibri" w:hAnsi="Cambria" w:cs="Calibri"/>
          <w:color w:val="000000"/>
          <w:sz w:val="24"/>
          <w:szCs w:val="24"/>
        </w:rPr>
        <w:t>analysing</w:t>
      </w:r>
      <w:r w:rsidRPr="002D1216">
        <w:rPr>
          <w:rFonts w:ascii="Cambria" w:eastAsia="Calibri" w:hAnsi="Cambria" w:cs="Calibri"/>
          <w:color w:val="000000"/>
          <w:sz w:val="24"/>
          <w:szCs w:val="24"/>
        </w:rPr>
        <w:t xml:space="preserve"> complex relationships among multiple variables </w:t>
      </w:r>
      <w:r w:rsidRPr="002D1216">
        <w:rPr>
          <w:rFonts w:ascii="Cambria" w:eastAsia="Calibri" w:hAnsi="Cambria" w:cs="Calibri"/>
          <w:color w:val="000000"/>
          <w:sz w:val="24"/>
          <w:szCs w:val="24"/>
        </w:rPr>
        <w:lastRenderedPageBreak/>
        <w:t>(</w:t>
      </w:r>
      <w:r w:rsidR="00A70646" w:rsidRPr="00A70646">
        <w:rPr>
          <w:rFonts w:ascii="Cambria" w:eastAsia="Calibri" w:hAnsi="Cambria" w:cs="Calibri"/>
          <w:color w:val="000000"/>
          <w:sz w:val="24"/>
          <w:szCs w:val="24"/>
        </w:rPr>
        <w:t xml:space="preserve">Beran and </w:t>
      </w:r>
      <w:proofErr w:type="spellStart"/>
      <w:r w:rsidR="00A70646" w:rsidRPr="00A70646">
        <w:rPr>
          <w:rFonts w:ascii="Cambria" w:eastAsia="Calibri" w:hAnsi="Cambria" w:cs="Calibri"/>
          <w:color w:val="000000"/>
          <w:sz w:val="24"/>
          <w:szCs w:val="24"/>
        </w:rPr>
        <w:t>Violato</w:t>
      </w:r>
      <w:proofErr w:type="spellEnd"/>
      <w:r w:rsidR="00A70646" w:rsidRPr="00A70646">
        <w:rPr>
          <w:rFonts w:ascii="Cambria" w:eastAsia="Calibri" w:hAnsi="Cambria" w:cs="Calibri"/>
          <w:color w:val="000000"/>
          <w:sz w:val="24"/>
          <w:szCs w:val="24"/>
        </w:rPr>
        <w:t xml:space="preserve"> 2010</w:t>
      </w:r>
      <w:r w:rsidRPr="002D1216">
        <w:rPr>
          <w:rFonts w:ascii="Cambria" w:eastAsia="Calibri" w:hAnsi="Cambria" w:cs="Calibri"/>
          <w:color w:val="000000"/>
          <w:sz w:val="24"/>
          <w:szCs w:val="24"/>
        </w:rPr>
        <w:t xml:space="preserve">). </w:t>
      </w:r>
      <w:bookmarkStart w:id="125" w:name="_Hlk158378374"/>
      <w:r w:rsidRPr="002D1216">
        <w:rPr>
          <w:rFonts w:ascii="Cambria" w:eastAsia="Calibri" w:hAnsi="Cambria" w:cs="Calibri"/>
          <w:color w:val="000000"/>
          <w:sz w:val="24"/>
          <w:szCs w:val="24"/>
        </w:rPr>
        <w:t>This allows testing the validity of a theory using empirical models with an advantage of managing measurement error</w:t>
      </w:r>
      <w:bookmarkEnd w:id="125"/>
      <w:r w:rsidRPr="002D1216">
        <w:rPr>
          <w:rFonts w:ascii="Cambria" w:eastAsia="Calibri" w:hAnsi="Cambria" w:cs="Calibri"/>
          <w:color w:val="000000"/>
          <w:sz w:val="24"/>
          <w:szCs w:val="24"/>
        </w:rPr>
        <w:t xml:space="preserve">, one of the greatest limitations of most health studies. SEM can be used as an exploratory or confirmatory approach within a research design, and can provide insight into the complex nature of disease and health </w:t>
      </w:r>
      <w:r w:rsidR="0003790A" w:rsidRPr="002D1216">
        <w:rPr>
          <w:rFonts w:ascii="Cambria" w:eastAsia="Calibri" w:hAnsi="Cambria" w:cs="Calibri"/>
          <w:color w:val="000000"/>
          <w:sz w:val="24"/>
          <w:szCs w:val="24"/>
        </w:rPr>
        <w:t>behaviours</w:t>
      </w:r>
      <w:r w:rsidRPr="002D1216">
        <w:rPr>
          <w:rFonts w:ascii="Cambria" w:eastAsia="Calibri" w:hAnsi="Cambria" w:cs="Calibri"/>
          <w:color w:val="000000"/>
          <w:sz w:val="24"/>
          <w:szCs w:val="24"/>
        </w:rPr>
        <w:t xml:space="preserve"> by examining both direct, indirect, unidirectional, and bidirectional relationships between measured and latent variables. The combination of these equations is then used to specify the pattern of possible relationships, and these relationships identified in the SEM model will then be further examined in detail via a generalized linear model (GLM). GLM procedures (both univariate and multivariate) are special cases of SEM (</w:t>
      </w:r>
      <w:r w:rsidR="00A70646">
        <w:rPr>
          <w:rFonts w:ascii="Cambria" w:eastAsia="Calibri" w:hAnsi="Cambria" w:cs="Calibri"/>
          <w:color w:val="000000"/>
          <w:sz w:val="24"/>
          <w:szCs w:val="24"/>
        </w:rPr>
        <w:t>Graham 2008</w:t>
      </w:r>
      <w:r w:rsidRPr="002D1216">
        <w:rPr>
          <w:rFonts w:ascii="Cambria" w:eastAsia="Calibri" w:hAnsi="Cambria" w:cs="Calibri"/>
          <w:color w:val="000000"/>
          <w:sz w:val="24"/>
          <w:szCs w:val="24"/>
        </w:rPr>
        <w:t>). SEM enables initial testing of multiple hypothesized paths simultaneously (i.e., when your model consists of several independent variables, dependent variables, mediators and/or moderators). However, linear regression provides insight into the amount of variance of criterion is explained by the predictor. For a simplistic model, regression alone would be sufficient, but in the present study of a complex set of relationships, for which their interrelations are unclear from previous evidence, SEM is also needed.</w:t>
      </w:r>
    </w:p>
    <w:p w14:paraId="0FDD4510" w14:textId="77777777" w:rsidR="00A70646" w:rsidRPr="002D1216" w:rsidRDefault="00A70646" w:rsidP="002B0F75">
      <w:pPr>
        <w:spacing w:after="0" w:line="360" w:lineRule="auto"/>
        <w:rPr>
          <w:rFonts w:ascii="Cambria" w:eastAsia="Calibri" w:hAnsi="Cambria" w:cs="Calibri"/>
          <w:color w:val="000000"/>
          <w:sz w:val="24"/>
          <w:szCs w:val="24"/>
        </w:rPr>
      </w:pPr>
    </w:p>
    <w:p w14:paraId="5C03E40A" w14:textId="77777777" w:rsid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 xml:space="preserve">Anticipated outcomes and implications </w:t>
      </w:r>
    </w:p>
    <w:p w14:paraId="7611ED6E" w14:textId="77777777" w:rsidR="00A70646" w:rsidRPr="002D1216" w:rsidRDefault="00A70646" w:rsidP="002B0F75">
      <w:pPr>
        <w:spacing w:after="0" w:line="360" w:lineRule="auto"/>
        <w:rPr>
          <w:rFonts w:ascii="Cambria" w:eastAsia="Calibri" w:hAnsi="Cambria" w:cs="Calibri"/>
          <w:b/>
          <w:bCs/>
          <w:i/>
          <w:iCs/>
          <w:color w:val="000000"/>
          <w:sz w:val="24"/>
          <w:szCs w:val="24"/>
        </w:rPr>
      </w:pPr>
    </w:p>
    <w:p w14:paraId="1C503591" w14:textId="76E20ACC" w:rsidR="002D1216" w:rsidRDefault="002D1216" w:rsidP="002B0F75">
      <w:pPr>
        <w:spacing w:after="0" w:line="360" w:lineRule="auto"/>
        <w:rPr>
          <w:rFonts w:ascii="Cambria" w:eastAsia="Calibri" w:hAnsi="Cambria" w:cs="Calibri"/>
          <w:color w:val="000000"/>
          <w:sz w:val="24"/>
          <w:szCs w:val="24"/>
        </w:rPr>
      </w:pPr>
      <w:bookmarkStart w:id="126" w:name="_Hlk148973407"/>
      <w:r w:rsidRPr="002D1216">
        <w:rPr>
          <w:rFonts w:ascii="Cambria" w:eastAsia="Calibri" w:hAnsi="Cambria" w:cs="Calibri"/>
          <w:color w:val="000000"/>
          <w:sz w:val="24"/>
          <w:szCs w:val="24"/>
        </w:rPr>
        <w:t>It was expected that CAs related to pain, with anxiety and inflammation potentially influencing the association. However, to the authors’ knowledge no-one has looked at all of these associations together in one large sample before, thus, it is not possible to make detailed predictions of the associations beyond expecting positive associations between all variables. Hence the choice of conducting a SEM to identify the unique relations between all the variables involved, rather than hypothesizing and testing mediation or moderation at this stage. Using SEM also circumvented the problem of some of the assumptions of mediation models not being met e.g., not accounting for one or more relevant variables (</w:t>
      </w:r>
      <w:r w:rsidR="00A70646">
        <w:rPr>
          <w:rFonts w:ascii="Cambria" w:eastAsia="Calibri" w:hAnsi="Cambria" w:cs="Calibri"/>
          <w:color w:val="000000"/>
          <w:sz w:val="24"/>
          <w:szCs w:val="24"/>
        </w:rPr>
        <w:t>Baron &amp; Kenny 1986</w:t>
      </w:r>
      <w:r w:rsidRPr="002D1216">
        <w:rPr>
          <w:rFonts w:ascii="Cambria" w:eastAsia="Calibri" w:hAnsi="Cambria" w:cs="Calibri"/>
          <w:color w:val="000000"/>
          <w:sz w:val="24"/>
          <w:szCs w:val="24"/>
        </w:rPr>
        <w:t xml:space="preserve">). These proposed analyses may help to inform clinical efforts to reduce the burden of CAs on adult outcomes across the life span. CAs should be considered in public health policies and decision-making and connect them more closely to interventions and prevention programs. There remains an unmet need for research that </w:t>
      </w:r>
      <w:r w:rsidRPr="002D1216">
        <w:rPr>
          <w:rFonts w:ascii="Cambria" w:eastAsia="Calibri" w:hAnsi="Cambria" w:cs="Calibri"/>
          <w:color w:val="000000"/>
          <w:sz w:val="24"/>
          <w:szCs w:val="24"/>
        </w:rPr>
        <w:lastRenderedPageBreak/>
        <w:t>better specifies the pathways through which CAs influence later health outcomes and pain medicine consumption.</w:t>
      </w:r>
      <w:bookmarkEnd w:id="126"/>
    </w:p>
    <w:p w14:paraId="7F25C254" w14:textId="77777777" w:rsidR="00A70646" w:rsidRPr="002D1216" w:rsidRDefault="00A70646" w:rsidP="002B0F75">
      <w:pPr>
        <w:spacing w:after="0" w:line="360" w:lineRule="auto"/>
        <w:rPr>
          <w:rFonts w:ascii="Cambria" w:eastAsia="Calibri" w:hAnsi="Cambria" w:cs="Calibri"/>
          <w:color w:val="000000"/>
          <w:sz w:val="24"/>
          <w:szCs w:val="24"/>
        </w:rPr>
      </w:pPr>
    </w:p>
    <w:p w14:paraId="4C23BEA9" w14:textId="77777777" w:rsid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Results</w:t>
      </w:r>
    </w:p>
    <w:p w14:paraId="724BE249" w14:textId="77777777" w:rsidR="00A70646" w:rsidRPr="002D1216" w:rsidRDefault="00A70646" w:rsidP="002B0F75">
      <w:pPr>
        <w:spacing w:after="0" w:line="360" w:lineRule="auto"/>
        <w:rPr>
          <w:rFonts w:ascii="Cambria" w:eastAsia="Calibri" w:hAnsi="Cambria" w:cs="Calibri"/>
          <w:b/>
          <w:bCs/>
          <w:color w:val="000000"/>
          <w:sz w:val="24"/>
          <w:szCs w:val="24"/>
        </w:rPr>
      </w:pPr>
    </w:p>
    <w:p w14:paraId="12564213" w14:textId="77777777" w:rsidR="002D1216" w:rsidRPr="002D1216" w:rsidRDefault="002D1216" w:rsidP="002B0F75">
      <w:pPr>
        <w:spacing w:after="0" w:line="360" w:lineRule="auto"/>
        <w:rPr>
          <w:rFonts w:ascii="Cambria" w:eastAsia="Calibri" w:hAnsi="Cambria" w:cs="Calibri"/>
          <w:color w:val="000000"/>
          <w:sz w:val="24"/>
          <w:szCs w:val="24"/>
        </w:rPr>
      </w:pPr>
      <w:bookmarkStart w:id="127" w:name="_Hlk155350465"/>
      <w:r w:rsidRPr="002D1216">
        <w:rPr>
          <w:rFonts w:ascii="Cambria" w:eastAsia="Calibri" w:hAnsi="Cambria" w:cs="Calibri"/>
          <w:color w:val="000000"/>
          <w:sz w:val="24"/>
          <w:szCs w:val="24"/>
        </w:rPr>
        <w:t xml:space="preserve">The specific sample sizes for the three different types of analyses conducted, as described above, and socio-demographics within each sample are displayed in </w:t>
      </w:r>
      <w:r w:rsidRPr="002D1216">
        <w:rPr>
          <w:rFonts w:ascii="Cambria" w:eastAsia="Calibri" w:hAnsi="Cambria" w:cs="Calibri"/>
          <w:b/>
          <w:bCs/>
          <w:color w:val="000000"/>
          <w:sz w:val="24"/>
          <w:szCs w:val="24"/>
        </w:rPr>
        <w:t>Table 2</w:t>
      </w:r>
      <w:r w:rsidRPr="002D1216">
        <w:rPr>
          <w:rFonts w:ascii="Cambria" w:eastAsia="Calibri" w:hAnsi="Cambria" w:cs="Calibri"/>
          <w:color w:val="000000"/>
          <w:sz w:val="24"/>
          <w:szCs w:val="24"/>
        </w:rPr>
        <w:t>.</w:t>
      </w:r>
    </w:p>
    <w:p w14:paraId="12317CDE" w14:textId="77777777" w:rsidR="002D1216" w:rsidRPr="002D1216" w:rsidRDefault="002D1216" w:rsidP="002B0F75">
      <w:pPr>
        <w:spacing w:after="0" w:line="360" w:lineRule="auto"/>
        <w:rPr>
          <w:rFonts w:ascii="Cambria" w:eastAsia="Calibri" w:hAnsi="Cambria" w:cs="Calibri"/>
          <w:color w:val="000000"/>
          <w:sz w:val="24"/>
          <w:szCs w:val="24"/>
        </w:rPr>
      </w:pPr>
    </w:p>
    <w:p w14:paraId="0F8FF95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ype="page"/>
      </w:r>
    </w:p>
    <w:p w14:paraId="215D23EC"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lastRenderedPageBreak/>
        <w:t>Table 2: Sample sizes and socio-demographics for each type of analysis</w:t>
      </w:r>
    </w:p>
    <w:tbl>
      <w:tblPr>
        <w:tblStyle w:val="TableGrid"/>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2370"/>
        <w:gridCol w:w="1740"/>
        <w:gridCol w:w="1770"/>
        <w:gridCol w:w="1800"/>
        <w:gridCol w:w="1779"/>
      </w:tblGrid>
      <w:tr w:rsidR="002D1216" w:rsidRPr="002D1216" w14:paraId="09351F1C" w14:textId="77777777" w:rsidTr="007C3AC5">
        <w:trPr>
          <w:trHeight w:val="300"/>
        </w:trPr>
        <w:tc>
          <w:tcPr>
            <w:tcW w:w="2370" w:type="dxa"/>
            <w:tcBorders>
              <w:top w:val="single" w:sz="4" w:space="0" w:color="auto"/>
              <w:left w:val="single" w:sz="4" w:space="0" w:color="auto"/>
              <w:bottom w:val="single" w:sz="4" w:space="0" w:color="auto"/>
              <w:right w:val="single" w:sz="4" w:space="0" w:color="auto"/>
            </w:tcBorders>
            <w:shd w:val="clear" w:color="auto" w:fill="E7E6E6" w:themeFill="background2"/>
          </w:tcPr>
          <w:p w14:paraId="0D37D9BF"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Objective</w:t>
            </w:r>
          </w:p>
        </w:tc>
        <w:tc>
          <w:tcPr>
            <w:tcW w:w="1740" w:type="dxa"/>
            <w:tcBorders>
              <w:top w:val="single" w:sz="4" w:space="0" w:color="auto"/>
              <w:left w:val="single" w:sz="4" w:space="0" w:color="auto"/>
              <w:bottom w:val="single" w:sz="4" w:space="0" w:color="auto"/>
              <w:right w:val="single" w:sz="4" w:space="0" w:color="auto"/>
            </w:tcBorders>
            <w:shd w:val="clear" w:color="auto" w:fill="E7E6E6" w:themeFill="background2"/>
          </w:tcPr>
          <w:p w14:paraId="32A93307"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1–2</w:t>
            </w:r>
          </w:p>
        </w:tc>
        <w:tc>
          <w:tcPr>
            <w:tcW w:w="1770" w:type="dxa"/>
            <w:tcBorders>
              <w:top w:val="single" w:sz="4" w:space="0" w:color="auto"/>
              <w:left w:val="single" w:sz="4" w:space="0" w:color="auto"/>
              <w:bottom w:val="single" w:sz="4" w:space="0" w:color="auto"/>
              <w:right w:val="single" w:sz="4" w:space="0" w:color="auto"/>
            </w:tcBorders>
            <w:shd w:val="clear" w:color="auto" w:fill="E7E6E6" w:themeFill="background2"/>
          </w:tcPr>
          <w:p w14:paraId="201767B1"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1–2</w:t>
            </w:r>
          </w:p>
        </w:tc>
        <w:tc>
          <w:tcPr>
            <w:tcW w:w="1800" w:type="dxa"/>
            <w:tcBorders>
              <w:top w:val="single" w:sz="4" w:space="0" w:color="auto"/>
              <w:left w:val="single" w:sz="4" w:space="0" w:color="auto"/>
              <w:bottom w:val="single" w:sz="4" w:space="0" w:color="auto"/>
              <w:right w:val="single" w:sz="4" w:space="0" w:color="auto"/>
            </w:tcBorders>
            <w:shd w:val="clear" w:color="auto" w:fill="E7E6E6" w:themeFill="background2"/>
          </w:tcPr>
          <w:p w14:paraId="3CF1A41A"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1</w:t>
            </w:r>
            <w:bookmarkStart w:id="128" w:name="_Hlk167210352"/>
            <w:r w:rsidRPr="002D1216">
              <w:rPr>
                <w:rFonts w:ascii="Cambria" w:eastAsia="Calibri" w:hAnsi="Cambria" w:cs="Calibri"/>
                <w:b/>
                <w:bCs/>
                <w:color w:val="000000"/>
                <w:sz w:val="24"/>
                <w:szCs w:val="24"/>
              </w:rPr>
              <w:t>–2</w:t>
            </w:r>
            <w:bookmarkEnd w:id="128"/>
          </w:p>
        </w:tc>
        <w:tc>
          <w:tcPr>
            <w:tcW w:w="1779" w:type="dxa"/>
            <w:tcBorders>
              <w:top w:val="single" w:sz="4" w:space="0" w:color="auto"/>
              <w:left w:val="single" w:sz="4" w:space="0" w:color="auto"/>
              <w:bottom w:val="single" w:sz="4" w:space="0" w:color="auto"/>
              <w:right w:val="single" w:sz="4" w:space="0" w:color="auto"/>
            </w:tcBorders>
            <w:shd w:val="clear" w:color="auto" w:fill="E7E6E6" w:themeFill="background2"/>
          </w:tcPr>
          <w:p w14:paraId="1D315922"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3</w:t>
            </w:r>
          </w:p>
        </w:tc>
      </w:tr>
      <w:tr w:rsidR="002D1216" w:rsidRPr="00CD2F5C" w14:paraId="2BF63966"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55F719A9"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Type of association</w:t>
            </w:r>
          </w:p>
        </w:tc>
        <w:tc>
          <w:tcPr>
            <w:tcW w:w="1740" w:type="dxa"/>
            <w:tcBorders>
              <w:top w:val="single" w:sz="4" w:space="0" w:color="auto"/>
              <w:left w:val="single" w:sz="4" w:space="0" w:color="auto"/>
              <w:bottom w:val="single" w:sz="4" w:space="0" w:color="auto"/>
              <w:right w:val="single" w:sz="4" w:space="0" w:color="auto"/>
            </w:tcBorders>
          </w:tcPr>
          <w:p w14:paraId="03A053D9"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Unstructured</w:t>
            </w:r>
          </w:p>
        </w:tc>
        <w:tc>
          <w:tcPr>
            <w:tcW w:w="1770" w:type="dxa"/>
            <w:tcBorders>
              <w:top w:val="single" w:sz="4" w:space="0" w:color="auto"/>
              <w:left w:val="single" w:sz="4" w:space="0" w:color="auto"/>
              <w:bottom w:val="single" w:sz="4" w:space="0" w:color="auto"/>
              <w:right w:val="single" w:sz="4" w:space="0" w:color="auto"/>
            </w:tcBorders>
          </w:tcPr>
          <w:p w14:paraId="38BD4B1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Structured</w:t>
            </w:r>
          </w:p>
        </w:tc>
        <w:tc>
          <w:tcPr>
            <w:tcW w:w="1800" w:type="dxa"/>
            <w:tcBorders>
              <w:top w:val="single" w:sz="4" w:space="0" w:color="auto"/>
              <w:left w:val="single" w:sz="4" w:space="0" w:color="auto"/>
              <w:bottom w:val="single" w:sz="4" w:space="0" w:color="auto"/>
              <w:right w:val="single" w:sz="4" w:space="0" w:color="auto"/>
            </w:tcBorders>
          </w:tcPr>
          <w:p w14:paraId="50F60E4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Predictive</w:t>
            </w:r>
          </w:p>
        </w:tc>
        <w:tc>
          <w:tcPr>
            <w:tcW w:w="1779" w:type="dxa"/>
            <w:tcBorders>
              <w:top w:val="single" w:sz="4" w:space="0" w:color="auto"/>
              <w:left w:val="single" w:sz="4" w:space="0" w:color="auto"/>
              <w:bottom w:val="single" w:sz="4" w:space="0" w:color="auto"/>
              <w:right w:val="single" w:sz="4" w:space="0" w:color="auto"/>
            </w:tcBorders>
          </w:tcPr>
          <w:p w14:paraId="0A8F066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Predictive</w:t>
            </w:r>
          </w:p>
        </w:tc>
      </w:tr>
      <w:tr w:rsidR="002D1216" w:rsidRPr="002D1216" w14:paraId="1ED3CFC9" w14:textId="77777777" w:rsidTr="007C3AC5">
        <w:trPr>
          <w:trHeight w:val="300"/>
        </w:trPr>
        <w:tc>
          <w:tcPr>
            <w:tcW w:w="2370" w:type="dxa"/>
            <w:tcBorders>
              <w:top w:val="single" w:sz="4" w:space="0" w:color="auto"/>
              <w:left w:val="single" w:sz="4" w:space="0" w:color="auto"/>
              <w:bottom w:val="single" w:sz="4" w:space="0" w:color="auto"/>
              <w:right w:val="single" w:sz="4" w:space="0" w:color="auto"/>
            </w:tcBorders>
          </w:tcPr>
          <w:p w14:paraId="2004C191"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Analysis type</w:t>
            </w:r>
          </w:p>
          <w:p w14:paraId="7182A466" w14:textId="77777777" w:rsidR="002D1216" w:rsidRPr="002D1216" w:rsidRDefault="002D1216" w:rsidP="002B0F75">
            <w:pPr>
              <w:spacing w:line="360" w:lineRule="auto"/>
              <w:rPr>
                <w:rFonts w:ascii="Cambria" w:eastAsia="Calibri" w:hAnsi="Cambria" w:cs="Calibri"/>
                <w:color w:val="000000"/>
                <w:sz w:val="24"/>
                <w:szCs w:val="24"/>
              </w:rPr>
            </w:pPr>
          </w:p>
        </w:tc>
        <w:tc>
          <w:tcPr>
            <w:tcW w:w="1740" w:type="dxa"/>
            <w:tcBorders>
              <w:top w:val="single" w:sz="4" w:space="0" w:color="auto"/>
              <w:left w:val="single" w:sz="4" w:space="0" w:color="auto"/>
              <w:bottom w:val="single" w:sz="4" w:space="0" w:color="auto"/>
              <w:right w:val="single" w:sz="4" w:space="0" w:color="auto"/>
            </w:tcBorders>
          </w:tcPr>
          <w:p w14:paraId="3BE9DD4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Correlation</w:t>
            </w:r>
          </w:p>
        </w:tc>
        <w:tc>
          <w:tcPr>
            <w:tcW w:w="1770" w:type="dxa"/>
            <w:tcBorders>
              <w:top w:val="single" w:sz="4" w:space="0" w:color="auto"/>
              <w:left w:val="single" w:sz="4" w:space="0" w:color="auto"/>
              <w:bottom w:val="single" w:sz="4" w:space="0" w:color="auto"/>
              <w:right w:val="single" w:sz="4" w:space="0" w:color="auto"/>
            </w:tcBorders>
          </w:tcPr>
          <w:p w14:paraId="15D9FEB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Structural Equation Model</w:t>
            </w:r>
          </w:p>
        </w:tc>
        <w:tc>
          <w:tcPr>
            <w:tcW w:w="1800" w:type="dxa"/>
            <w:tcBorders>
              <w:top w:val="single" w:sz="4" w:space="0" w:color="auto"/>
              <w:left w:val="single" w:sz="4" w:space="0" w:color="auto"/>
              <w:bottom w:val="single" w:sz="4" w:space="0" w:color="auto"/>
              <w:right w:val="single" w:sz="4" w:space="0" w:color="auto"/>
            </w:tcBorders>
          </w:tcPr>
          <w:p w14:paraId="670DDF90"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Regression predicting chronic pain presence</w:t>
            </w:r>
          </w:p>
        </w:tc>
        <w:tc>
          <w:tcPr>
            <w:tcW w:w="1779" w:type="dxa"/>
            <w:tcBorders>
              <w:top w:val="single" w:sz="4" w:space="0" w:color="auto"/>
              <w:left w:val="single" w:sz="4" w:space="0" w:color="auto"/>
              <w:bottom w:val="single" w:sz="4" w:space="0" w:color="auto"/>
              <w:right w:val="single" w:sz="4" w:space="0" w:color="auto"/>
            </w:tcBorders>
          </w:tcPr>
          <w:p w14:paraId="1A4687C8"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Regression predicting medication use for chronic pain</w:t>
            </w:r>
          </w:p>
        </w:tc>
      </w:tr>
      <w:tr w:rsidR="002D1216" w:rsidRPr="002D1216" w14:paraId="1DA07D62" w14:textId="77777777" w:rsidTr="007C3AC5">
        <w:trPr>
          <w:trHeight w:val="300"/>
        </w:trPr>
        <w:tc>
          <w:tcPr>
            <w:tcW w:w="2370" w:type="dxa"/>
            <w:tcBorders>
              <w:top w:val="single" w:sz="4" w:space="0" w:color="auto"/>
              <w:left w:val="single" w:sz="4" w:space="0" w:color="auto"/>
              <w:bottom w:val="single" w:sz="4" w:space="0" w:color="auto"/>
              <w:right w:val="single" w:sz="4" w:space="0" w:color="auto"/>
            </w:tcBorders>
          </w:tcPr>
          <w:p w14:paraId="3ED71A7A" w14:textId="77777777" w:rsidR="002D1216" w:rsidRPr="002D1216" w:rsidRDefault="179D8B01" w:rsidP="002B0F75">
            <w:pPr>
              <w:spacing w:line="360" w:lineRule="auto"/>
              <w:rPr>
                <w:rFonts w:ascii="Cambria" w:eastAsia="Calibri" w:hAnsi="Cambria" w:cs="Calibri"/>
                <w:b/>
                <w:bCs/>
                <w:color w:val="000000"/>
                <w:sz w:val="24"/>
                <w:szCs w:val="24"/>
              </w:rPr>
            </w:pPr>
            <w:r w:rsidRPr="1E06730D">
              <w:rPr>
                <w:rFonts w:ascii="Cambria" w:eastAsia="Calibri" w:hAnsi="Cambria" w:cs="Calibri"/>
                <w:b/>
                <w:bCs/>
                <w:color w:val="000000" w:themeColor="text1"/>
                <w:sz w:val="24"/>
                <w:szCs w:val="24"/>
              </w:rPr>
              <w:t>Variables type</w:t>
            </w:r>
          </w:p>
        </w:tc>
        <w:tc>
          <w:tcPr>
            <w:tcW w:w="1740" w:type="dxa"/>
            <w:tcBorders>
              <w:top w:val="single" w:sz="4" w:space="0" w:color="auto"/>
              <w:left w:val="single" w:sz="4" w:space="0" w:color="auto"/>
              <w:bottom w:val="single" w:sz="4" w:space="0" w:color="auto"/>
              <w:right w:val="single" w:sz="4" w:space="0" w:color="auto"/>
            </w:tcBorders>
          </w:tcPr>
          <w:p w14:paraId="5D1F8699"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c>
          <w:tcPr>
            <w:tcW w:w="1770" w:type="dxa"/>
            <w:tcBorders>
              <w:top w:val="single" w:sz="4" w:space="0" w:color="auto"/>
              <w:left w:val="single" w:sz="4" w:space="0" w:color="auto"/>
              <w:bottom w:val="single" w:sz="4" w:space="0" w:color="auto"/>
              <w:right w:val="single" w:sz="4" w:space="0" w:color="auto"/>
            </w:tcBorders>
          </w:tcPr>
          <w:p w14:paraId="1D7B71F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Latent and observed</w:t>
            </w:r>
          </w:p>
        </w:tc>
        <w:tc>
          <w:tcPr>
            <w:tcW w:w="1800" w:type="dxa"/>
            <w:tcBorders>
              <w:top w:val="single" w:sz="4" w:space="0" w:color="auto"/>
              <w:left w:val="single" w:sz="4" w:space="0" w:color="auto"/>
              <w:bottom w:val="single" w:sz="4" w:space="0" w:color="auto"/>
              <w:right w:val="single" w:sz="4" w:space="0" w:color="auto"/>
            </w:tcBorders>
          </w:tcPr>
          <w:p w14:paraId="23D047D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Dependent and independent</w:t>
            </w:r>
          </w:p>
        </w:tc>
        <w:tc>
          <w:tcPr>
            <w:tcW w:w="1779" w:type="dxa"/>
            <w:tcBorders>
              <w:top w:val="single" w:sz="4" w:space="0" w:color="auto"/>
              <w:left w:val="single" w:sz="4" w:space="0" w:color="auto"/>
              <w:bottom w:val="single" w:sz="4" w:space="0" w:color="auto"/>
              <w:right w:val="single" w:sz="4" w:space="0" w:color="auto"/>
            </w:tcBorders>
          </w:tcPr>
          <w:p w14:paraId="086173B4" w14:textId="77777777" w:rsidR="002D1216" w:rsidRPr="002D1216" w:rsidRDefault="179D8B01" w:rsidP="002B0F75">
            <w:pPr>
              <w:spacing w:line="360" w:lineRule="auto"/>
              <w:rPr>
                <w:rFonts w:ascii="Cambria" w:eastAsia="Calibri" w:hAnsi="Cambria" w:cs="Calibri"/>
                <w:color w:val="000000"/>
                <w:sz w:val="24"/>
                <w:szCs w:val="24"/>
              </w:rPr>
            </w:pPr>
            <w:r w:rsidRPr="1E06730D">
              <w:rPr>
                <w:rFonts w:ascii="Cambria" w:eastAsia="Calibri" w:hAnsi="Cambria" w:cs="Calibri"/>
                <w:color w:val="000000" w:themeColor="text1"/>
                <w:sz w:val="24"/>
                <w:szCs w:val="24"/>
              </w:rPr>
              <w:t>Dependent and independent</w:t>
            </w:r>
          </w:p>
        </w:tc>
      </w:tr>
      <w:tr w:rsidR="002D1216" w:rsidRPr="002D1216" w14:paraId="18440C8B" w14:textId="77777777" w:rsidTr="007C3AC5">
        <w:trPr>
          <w:trHeight w:val="300"/>
        </w:trPr>
        <w:tc>
          <w:tcPr>
            <w:tcW w:w="2370" w:type="dxa"/>
            <w:tcBorders>
              <w:top w:val="single" w:sz="4" w:space="0" w:color="auto"/>
              <w:left w:val="single" w:sz="4" w:space="0" w:color="auto"/>
              <w:bottom w:val="single" w:sz="4" w:space="0" w:color="auto"/>
              <w:right w:val="single" w:sz="4" w:space="0" w:color="auto"/>
            </w:tcBorders>
          </w:tcPr>
          <w:p w14:paraId="30F6ECE6"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n</w:t>
            </w:r>
          </w:p>
        </w:tc>
        <w:tc>
          <w:tcPr>
            <w:tcW w:w="1740" w:type="dxa"/>
            <w:tcBorders>
              <w:top w:val="single" w:sz="4" w:space="0" w:color="auto"/>
              <w:left w:val="single" w:sz="4" w:space="0" w:color="auto"/>
              <w:bottom w:val="single" w:sz="4" w:space="0" w:color="auto"/>
              <w:right w:val="single" w:sz="4" w:space="0" w:color="auto"/>
            </w:tcBorders>
          </w:tcPr>
          <w:p w14:paraId="0BEAF44C" w14:textId="77777777" w:rsidR="002D1216" w:rsidRPr="002D1216" w:rsidRDefault="002D1216" w:rsidP="002B0F75">
            <w:pPr>
              <w:spacing w:line="360" w:lineRule="auto"/>
              <w:rPr>
                <w:rFonts w:ascii="Cambria" w:eastAsia="Calibri" w:hAnsi="Cambria" w:cs="Calibri"/>
                <w:color w:val="000000"/>
                <w:sz w:val="24"/>
                <w:szCs w:val="24"/>
              </w:rPr>
            </w:pPr>
            <w:bookmarkStart w:id="129" w:name="_Hlk167304673"/>
            <w:r w:rsidRPr="002D1216">
              <w:rPr>
                <w:rFonts w:ascii="Cambria" w:eastAsia="Calibri" w:hAnsi="Cambria" w:cs="Calibri"/>
                <w:color w:val="000000"/>
                <w:sz w:val="24"/>
                <w:szCs w:val="24"/>
              </w:rPr>
              <w:t>1255</w:t>
            </w:r>
            <w:bookmarkEnd w:id="129"/>
          </w:p>
        </w:tc>
        <w:tc>
          <w:tcPr>
            <w:tcW w:w="1770" w:type="dxa"/>
            <w:tcBorders>
              <w:top w:val="single" w:sz="4" w:space="0" w:color="auto"/>
              <w:left w:val="single" w:sz="4" w:space="0" w:color="auto"/>
              <w:bottom w:val="single" w:sz="4" w:space="0" w:color="auto"/>
              <w:right w:val="single" w:sz="4" w:space="0" w:color="auto"/>
            </w:tcBorders>
          </w:tcPr>
          <w:p w14:paraId="4FAAB8B0"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1173</w:t>
            </w:r>
          </w:p>
        </w:tc>
        <w:tc>
          <w:tcPr>
            <w:tcW w:w="1800" w:type="dxa"/>
            <w:tcBorders>
              <w:top w:val="single" w:sz="4" w:space="0" w:color="auto"/>
              <w:left w:val="single" w:sz="4" w:space="0" w:color="auto"/>
              <w:bottom w:val="single" w:sz="4" w:space="0" w:color="auto"/>
              <w:right w:val="single" w:sz="4" w:space="0" w:color="auto"/>
            </w:tcBorders>
          </w:tcPr>
          <w:p w14:paraId="637C10C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1173</w:t>
            </w:r>
          </w:p>
        </w:tc>
        <w:tc>
          <w:tcPr>
            <w:tcW w:w="1779" w:type="dxa"/>
            <w:tcBorders>
              <w:top w:val="single" w:sz="4" w:space="0" w:color="auto"/>
              <w:left w:val="single" w:sz="4" w:space="0" w:color="auto"/>
              <w:bottom w:val="single" w:sz="4" w:space="0" w:color="auto"/>
              <w:right w:val="single" w:sz="4" w:space="0" w:color="auto"/>
            </w:tcBorders>
          </w:tcPr>
          <w:p w14:paraId="299D72A6"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600</w:t>
            </w:r>
          </w:p>
        </w:tc>
      </w:tr>
      <w:tr w:rsidR="002D1216" w:rsidRPr="002D1216" w:rsidDel="009B484B" w14:paraId="03572875"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370" w:type="dxa"/>
            <w:tcBorders>
              <w:top w:val="single" w:sz="4" w:space="0" w:color="auto"/>
              <w:left w:val="single" w:sz="4" w:space="0" w:color="auto"/>
              <w:bottom w:val="single" w:sz="4" w:space="0" w:color="auto"/>
              <w:right w:val="single" w:sz="4" w:space="0" w:color="auto"/>
            </w:tcBorders>
          </w:tcPr>
          <w:p w14:paraId="05A1F9DB" w14:textId="77777777" w:rsidR="002D1216" w:rsidRPr="002D1216" w:rsidDel="009B484B" w:rsidRDefault="002D1216" w:rsidP="002B0F75">
            <w:pPr>
              <w:spacing w:line="360" w:lineRule="auto"/>
              <w:rPr>
                <w:rFonts w:ascii="Cambria" w:eastAsia="Calibri" w:hAnsi="Cambria" w:cs="Calibri"/>
                <w:color w:val="000000"/>
                <w:sz w:val="24"/>
                <w:szCs w:val="24"/>
              </w:rPr>
            </w:pPr>
          </w:p>
        </w:tc>
        <w:tc>
          <w:tcPr>
            <w:tcW w:w="7089" w:type="dxa"/>
            <w:gridSpan w:val="4"/>
            <w:tcBorders>
              <w:top w:val="single" w:sz="4" w:space="0" w:color="auto"/>
              <w:left w:val="single" w:sz="4" w:space="0" w:color="auto"/>
              <w:bottom w:val="single" w:sz="4" w:space="0" w:color="auto"/>
              <w:right w:val="single" w:sz="4" w:space="0" w:color="auto"/>
            </w:tcBorders>
          </w:tcPr>
          <w:p w14:paraId="31FAF35E" w14:textId="77777777" w:rsidR="002D1216" w:rsidRPr="002D1216" w:rsidDel="009B484B"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Mean (SD) / %</w:t>
            </w:r>
          </w:p>
        </w:tc>
      </w:tr>
      <w:tr w:rsidR="002D1216" w:rsidRPr="002D1216" w14:paraId="672D7C29"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41B7B2A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Race</w:t>
            </w:r>
            <w:r w:rsidRPr="002D1216">
              <w:rPr>
                <w:rFonts w:ascii="Cambria" w:eastAsia="Calibri" w:hAnsi="Cambria" w:cs="Calibri"/>
                <w:color w:val="000000"/>
                <w:sz w:val="24"/>
                <w:szCs w:val="24"/>
              </w:rPr>
              <w:t xml:space="preserve">     White</w:t>
            </w:r>
          </w:p>
          <w:p w14:paraId="3F4E43B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Black</w:t>
            </w:r>
          </w:p>
          <w:p w14:paraId="38892F35"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Asian</w:t>
            </w:r>
          </w:p>
          <w:p w14:paraId="01E4C8A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Native-</w:t>
            </w:r>
          </w:p>
          <w:p w14:paraId="40F2F56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American</w:t>
            </w:r>
          </w:p>
          <w:p w14:paraId="43BC58F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Other</w:t>
            </w:r>
          </w:p>
        </w:tc>
        <w:tc>
          <w:tcPr>
            <w:tcW w:w="1740" w:type="dxa"/>
            <w:tcBorders>
              <w:top w:val="single" w:sz="4" w:space="0" w:color="auto"/>
              <w:left w:val="single" w:sz="4" w:space="0" w:color="auto"/>
              <w:bottom w:val="single" w:sz="4" w:space="0" w:color="auto"/>
              <w:right w:val="single" w:sz="4" w:space="0" w:color="auto"/>
            </w:tcBorders>
            <w:vAlign w:val="center"/>
          </w:tcPr>
          <w:p w14:paraId="2BAECF15"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78.7</w:t>
            </w:r>
          </w:p>
          <w:p w14:paraId="6C4B250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17.2</w:t>
            </w:r>
          </w:p>
          <w:p w14:paraId="19D96E6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w:t>
            </w:r>
          </w:p>
          <w:p w14:paraId="456DBAB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w:t>
            </w:r>
          </w:p>
          <w:p w14:paraId="1DA1C386" w14:textId="77777777" w:rsidR="002D1216" w:rsidRPr="002D1216" w:rsidRDefault="002D1216" w:rsidP="002B0F75">
            <w:pPr>
              <w:spacing w:line="360" w:lineRule="auto"/>
              <w:rPr>
                <w:rFonts w:ascii="Cambria" w:eastAsia="Calibri" w:hAnsi="Cambria" w:cs="Calibri"/>
                <w:color w:val="000000"/>
                <w:sz w:val="24"/>
                <w:szCs w:val="24"/>
              </w:rPr>
            </w:pPr>
          </w:p>
          <w:p w14:paraId="61D69D8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2.5</w:t>
            </w:r>
          </w:p>
        </w:tc>
        <w:tc>
          <w:tcPr>
            <w:tcW w:w="1770" w:type="dxa"/>
            <w:tcBorders>
              <w:top w:val="single" w:sz="4" w:space="0" w:color="auto"/>
              <w:left w:val="single" w:sz="4" w:space="0" w:color="auto"/>
              <w:bottom w:val="single" w:sz="4" w:space="0" w:color="auto"/>
              <w:right w:val="single" w:sz="4" w:space="0" w:color="auto"/>
            </w:tcBorders>
            <w:vAlign w:val="center"/>
          </w:tcPr>
          <w:p w14:paraId="0165560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79.0</w:t>
            </w:r>
          </w:p>
          <w:p w14:paraId="27A2F1B0"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17.0</w:t>
            </w:r>
          </w:p>
          <w:p w14:paraId="311EB2E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w:t>
            </w:r>
          </w:p>
          <w:p w14:paraId="01C2DFB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w:t>
            </w:r>
          </w:p>
          <w:p w14:paraId="2C0E293F" w14:textId="77777777" w:rsidR="002D1216" w:rsidRPr="002D1216" w:rsidRDefault="002D1216" w:rsidP="002B0F75">
            <w:pPr>
              <w:spacing w:line="360" w:lineRule="auto"/>
              <w:rPr>
                <w:rFonts w:ascii="Cambria" w:eastAsia="Calibri" w:hAnsi="Cambria" w:cs="Calibri"/>
                <w:color w:val="000000"/>
                <w:sz w:val="24"/>
                <w:szCs w:val="24"/>
              </w:rPr>
            </w:pPr>
          </w:p>
          <w:p w14:paraId="36510DF9"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2.4</w:t>
            </w:r>
          </w:p>
        </w:tc>
        <w:tc>
          <w:tcPr>
            <w:tcW w:w="1800" w:type="dxa"/>
            <w:tcBorders>
              <w:top w:val="single" w:sz="4" w:space="0" w:color="auto"/>
              <w:left w:val="single" w:sz="4" w:space="0" w:color="auto"/>
              <w:bottom w:val="single" w:sz="4" w:space="0" w:color="auto"/>
              <w:right w:val="single" w:sz="4" w:space="0" w:color="auto"/>
            </w:tcBorders>
            <w:vAlign w:val="center"/>
          </w:tcPr>
          <w:p w14:paraId="5E91E58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79.0</w:t>
            </w:r>
          </w:p>
          <w:p w14:paraId="1E1E788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17.0</w:t>
            </w:r>
          </w:p>
          <w:p w14:paraId="1201C34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w:t>
            </w:r>
          </w:p>
          <w:p w14:paraId="68AC7F0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w:t>
            </w:r>
          </w:p>
          <w:p w14:paraId="3C916D3B" w14:textId="77777777" w:rsidR="002D1216" w:rsidRPr="002D1216" w:rsidRDefault="002D1216" w:rsidP="002B0F75">
            <w:pPr>
              <w:spacing w:line="360" w:lineRule="auto"/>
              <w:rPr>
                <w:rFonts w:ascii="Cambria" w:eastAsia="Calibri" w:hAnsi="Cambria" w:cs="Calibri"/>
                <w:color w:val="000000"/>
                <w:sz w:val="24"/>
                <w:szCs w:val="24"/>
              </w:rPr>
            </w:pPr>
          </w:p>
          <w:p w14:paraId="321853C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2.4</w:t>
            </w:r>
          </w:p>
        </w:tc>
        <w:tc>
          <w:tcPr>
            <w:tcW w:w="1779" w:type="dxa"/>
            <w:tcBorders>
              <w:top w:val="single" w:sz="4" w:space="0" w:color="auto"/>
              <w:left w:val="single" w:sz="4" w:space="0" w:color="auto"/>
              <w:bottom w:val="single" w:sz="4" w:space="0" w:color="auto"/>
              <w:right w:val="single" w:sz="4" w:space="0" w:color="auto"/>
            </w:tcBorders>
            <w:vAlign w:val="center"/>
          </w:tcPr>
          <w:p w14:paraId="6A5340A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64.7</w:t>
            </w:r>
          </w:p>
          <w:p w14:paraId="16E513F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31.3</w:t>
            </w:r>
          </w:p>
          <w:p w14:paraId="6D3B28B7"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w:t>
            </w:r>
          </w:p>
          <w:p w14:paraId="1195F3B6"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1.5</w:t>
            </w:r>
          </w:p>
          <w:p w14:paraId="40B35114" w14:textId="77777777" w:rsidR="002D1216" w:rsidRPr="002D1216" w:rsidRDefault="002D1216" w:rsidP="002B0F75">
            <w:pPr>
              <w:spacing w:line="360" w:lineRule="auto"/>
              <w:rPr>
                <w:rFonts w:ascii="Cambria" w:eastAsia="Calibri" w:hAnsi="Cambria" w:cs="Calibri"/>
                <w:color w:val="000000"/>
                <w:sz w:val="24"/>
                <w:szCs w:val="24"/>
              </w:rPr>
            </w:pPr>
          </w:p>
          <w:p w14:paraId="3A3A3C7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2.5</w:t>
            </w:r>
          </w:p>
        </w:tc>
      </w:tr>
      <w:tr w:rsidR="002D1216" w:rsidRPr="002D1216" w14:paraId="1ABAB19C"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57012B2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Gender</w:t>
            </w:r>
            <w:r w:rsidRPr="002D1216">
              <w:rPr>
                <w:rFonts w:ascii="Cambria" w:eastAsia="Calibri" w:hAnsi="Cambria" w:cs="Calibri"/>
                <w:color w:val="000000"/>
                <w:sz w:val="24"/>
                <w:szCs w:val="24"/>
              </w:rPr>
              <w:t xml:space="preserve">    Female</w:t>
            </w:r>
          </w:p>
          <w:p w14:paraId="62E247F8"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Male</w:t>
            </w:r>
          </w:p>
        </w:tc>
        <w:tc>
          <w:tcPr>
            <w:tcW w:w="1740" w:type="dxa"/>
            <w:tcBorders>
              <w:top w:val="single" w:sz="4" w:space="0" w:color="auto"/>
              <w:left w:val="single" w:sz="4" w:space="0" w:color="auto"/>
              <w:bottom w:val="single" w:sz="4" w:space="0" w:color="auto"/>
              <w:right w:val="single" w:sz="4" w:space="0" w:color="auto"/>
            </w:tcBorders>
            <w:vAlign w:val="center"/>
          </w:tcPr>
          <w:p w14:paraId="1DEFE125"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56.8</w:t>
            </w:r>
          </w:p>
          <w:p w14:paraId="169CF913"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43.2</w:t>
            </w:r>
          </w:p>
        </w:tc>
        <w:tc>
          <w:tcPr>
            <w:tcW w:w="1770" w:type="dxa"/>
            <w:tcBorders>
              <w:top w:val="single" w:sz="4" w:space="0" w:color="auto"/>
              <w:left w:val="single" w:sz="4" w:space="0" w:color="auto"/>
              <w:bottom w:val="single" w:sz="4" w:space="0" w:color="auto"/>
              <w:right w:val="single" w:sz="4" w:space="0" w:color="auto"/>
            </w:tcBorders>
            <w:vAlign w:val="center"/>
          </w:tcPr>
          <w:p w14:paraId="1F0BFCF6"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56.2</w:t>
            </w:r>
          </w:p>
          <w:p w14:paraId="29F41F8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43.8</w:t>
            </w:r>
          </w:p>
        </w:tc>
        <w:tc>
          <w:tcPr>
            <w:tcW w:w="1800" w:type="dxa"/>
            <w:tcBorders>
              <w:top w:val="single" w:sz="4" w:space="0" w:color="auto"/>
              <w:left w:val="single" w:sz="4" w:space="0" w:color="auto"/>
              <w:bottom w:val="single" w:sz="4" w:space="0" w:color="auto"/>
              <w:right w:val="single" w:sz="4" w:space="0" w:color="auto"/>
            </w:tcBorders>
            <w:vAlign w:val="center"/>
          </w:tcPr>
          <w:p w14:paraId="156AD77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56.2</w:t>
            </w:r>
          </w:p>
          <w:p w14:paraId="3ED98E88"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43.8</w:t>
            </w:r>
          </w:p>
        </w:tc>
        <w:tc>
          <w:tcPr>
            <w:tcW w:w="1779" w:type="dxa"/>
            <w:tcBorders>
              <w:top w:val="single" w:sz="4" w:space="0" w:color="auto"/>
              <w:left w:val="single" w:sz="4" w:space="0" w:color="auto"/>
              <w:bottom w:val="single" w:sz="4" w:space="0" w:color="auto"/>
              <w:right w:val="single" w:sz="4" w:space="0" w:color="auto"/>
            </w:tcBorders>
            <w:vAlign w:val="center"/>
          </w:tcPr>
          <w:p w14:paraId="3B3DD31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60</w:t>
            </w:r>
          </w:p>
          <w:p w14:paraId="4DD90C53"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40</w:t>
            </w:r>
          </w:p>
        </w:tc>
      </w:tr>
      <w:tr w:rsidR="002D1216" w:rsidRPr="002D1216" w14:paraId="1971F5FE"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073C5EE7" w14:textId="77777777" w:rsidR="002D1216" w:rsidRPr="002D1216" w:rsidRDefault="002D1216" w:rsidP="002B0F75">
            <w:pPr>
              <w:spacing w:line="360" w:lineRule="auto"/>
              <w:rPr>
                <w:rFonts w:ascii="Cambria" w:eastAsia="Calibri" w:hAnsi="Cambria" w:cs="Calibri"/>
                <w:i/>
                <w:iCs/>
                <w:color w:val="000000"/>
                <w:sz w:val="24"/>
                <w:szCs w:val="24"/>
              </w:rPr>
            </w:pPr>
            <w:r w:rsidRPr="002D1216">
              <w:rPr>
                <w:rFonts w:ascii="Cambria" w:eastAsia="Calibri" w:hAnsi="Cambria" w:cs="Calibri"/>
                <w:b/>
                <w:bCs/>
                <w:color w:val="000000"/>
                <w:sz w:val="24"/>
                <w:szCs w:val="24"/>
              </w:rPr>
              <w:t>Total income (USD$)</w:t>
            </w:r>
          </w:p>
        </w:tc>
        <w:tc>
          <w:tcPr>
            <w:tcW w:w="1740" w:type="dxa"/>
            <w:tcBorders>
              <w:top w:val="single" w:sz="4" w:space="0" w:color="auto"/>
              <w:left w:val="single" w:sz="4" w:space="0" w:color="auto"/>
              <w:bottom w:val="single" w:sz="4" w:space="0" w:color="auto"/>
              <w:right w:val="single" w:sz="4" w:space="0" w:color="auto"/>
            </w:tcBorders>
            <w:vAlign w:val="center"/>
          </w:tcPr>
          <w:p w14:paraId="3211845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41,577 (39,204)</w:t>
            </w:r>
          </w:p>
        </w:tc>
        <w:tc>
          <w:tcPr>
            <w:tcW w:w="1770" w:type="dxa"/>
            <w:tcBorders>
              <w:top w:val="single" w:sz="4" w:space="0" w:color="auto"/>
              <w:left w:val="single" w:sz="4" w:space="0" w:color="auto"/>
              <w:bottom w:val="single" w:sz="4" w:space="0" w:color="auto"/>
              <w:right w:val="single" w:sz="4" w:space="0" w:color="auto"/>
            </w:tcBorders>
            <w:vAlign w:val="center"/>
          </w:tcPr>
          <w:p w14:paraId="650F78F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42,194 (39,446)</w:t>
            </w:r>
          </w:p>
        </w:tc>
        <w:tc>
          <w:tcPr>
            <w:tcW w:w="1800" w:type="dxa"/>
            <w:tcBorders>
              <w:top w:val="single" w:sz="4" w:space="0" w:color="auto"/>
              <w:left w:val="single" w:sz="4" w:space="0" w:color="auto"/>
              <w:bottom w:val="single" w:sz="4" w:space="0" w:color="auto"/>
              <w:right w:val="single" w:sz="4" w:space="0" w:color="auto"/>
            </w:tcBorders>
            <w:vAlign w:val="center"/>
          </w:tcPr>
          <w:p w14:paraId="1DA16B43"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42,194 (39,446)</w:t>
            </w:r>
          </w:p>
        </w:tc>
        <w:tc>
          <w:tcPr>
            <w:tcW w:w="1779" w:type="dxa"/>
            <w:tcBorders>
              <w:top w:val="single" w:sz="4" w:space="0" w:color="auto"/>
              <w:left w:val="single" w:sz="4" w:space="0" w:color="auto"/>
              <w:bottom w:val="single" w:sz="4" w:space="0" w:color="auto"/>
              <w:right w:val="single" w:sz="4" w:space="0" w:color="auto"/>
            </w:tcBorders>
            <w:vAlign w:val="center"/>
          </w:tcPr>
          <w:p w14:paraId="549CABA7"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36,152(34,562)</w:t>
            </w:r>
          </w:p>
        </w:tc>
      </w:tr>
      <w:tr w:rsidR="002D1216" w:rsidRPr="002D1216" w14:paraId="7D169215"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43F6E053"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Total household income (USD$)</w:t>
            </w:r>
          </w:p>
        </w:tc>
        <w:tc>
          <w:tcPr>
            <w:tcW w:w="1740" w:type="dxa"/>
            <w:tcBorders>
              <w:top w:val="single" w:sz="4" w:space="0" w:color="auto"/>
              <w:left w:val="single" w:sz="4" w:space="0" w:color="auto"/>
              <w:bottom w:val="single" w:sz="4" w:space="0" w:color="auto"/>
              <w:right w:val="single" w:sz="4" w:space="0" w:color="auto"/>
            </w:tcBorders>
            <w:vAlign w:val="center"/>
          </w:tcPr>
          <w:p w14:paraId="71089BD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70,090 (58,929)</w:t>
            </w:r>
          </w:p>
        </w:tc>
        <w:tc>
          <w:tcPr>
            <w:tcW w:w="1770" w:type="dxa"/>
            <w:tcBorders>
              <w:top w:val="single" w:sz="4" w:space="0" w:color="auto"/>
              <w:left w:val="single" w:sz="4" w:space="0" w:color="auto"/>
              <w:bottom w:val="single" w:sz="4" w:space="0" w:color="auto"/>
              <w:right w:val="single" w:sz="4" w:space="0" w:color="auto"/>
            </w:tcBorders>
            <w:vAlign w:val="center"/>
          </w:tcPr>
          <w:p w14:paraId="724EFF63"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72,177 (59,161)</w:t>
            </w:r>
          </w:p>
        </w:tc>
        <w:tc>
          <w:tcPr>
            <w:tcW w:w="1800" w:type="dxa"/>
            <w:tcBorders>
              <w:top w:val="single" w:sz="4" w:space="0" w:color="auto"/>
              <w:left w:val="single" w:sz="4" w:space="0" w:color="auto"/>
              <w:bottom w:val="single" w:sz="4" w:space="0" w:color="auto"/>
              <w:right w:val="single" w:sz="4" w:space="0" w:color="auto"/>
            </w:tcBorders>
            <w:vAlign w:val="center"/>
          </w:tcPr>
          <w:p w14:paraId="5BA85E0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72,177 (59,161)</w:t>
            </w:r>
          </w:p>
        </w:tc>
        <w:tc>
          <w:tcPr>
            <w:tcW w:w="1779" w:type="dxa"/>
            <w:tcBorders>
              <w:top w:val="single" w:sz="4" w:space="0" w:color="auto"/>
              <w:left w:val="single" w:sz="4" w:space="0" w:color="auto"/>
              <w:bottom w:val="single" w:sz="4" w:space="0" w:color="auto"/>
              <w:right w:val="single" w:sz="4" w:space="0" w:color="auto"/>
            </w:tcBorders>
            <w:vAlign w:val="center"/>
          </w:tcPr>
          <w:p w14:paraId="652CA72F"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61,105 (53,972)</w:t>
            </w:r>
          </w:p>
        </w:tc>
      </w:tr>
      <w:tr w:rsidR="002D1216" w:rsidRPr="002D1216" w14:paraId="39BC1FC5"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65EF31ED"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Highest education</w:t>
            </w:r>
          </w:p>
          <w:p w14:paraId="245B4C8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None/some grade school</w:t>
            </w:r>
          </w:p>
          <w:p w14:paraId="5D92D0E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Eighth grade/junior high school</w:t>
            </w:r>
          </w:p>
          <w:p w14:paraId="6465C25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Some high school</w:t>
            </w:r>
          </w:p>
          <w:p w14:paraId="2EDCED2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GED</w:t>
            </w:r>
          </w:p>
          <w:p w14:paraId="6C81D1F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Graduated from high school</w:t>
            </w:r>
          </w:p>
          <w:p w14:paraId="4B600B47"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 years of college, no degree</w:t>
            </w:r>
          </w:p>
          <w:p w14:paraId="3E9D7F08"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 years of college, no degree</w:t>
            </w:r>
          </w:p>
          <w:p w14:paraId="3B1F2063"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2-year/vocational college graduate</w:t>
            </w:r>
          </w:p>
          <w:p w14:paraId="342A3E9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4-year/bachelor’s college graduate</w:t>
            </w:r>
          </w:p>
          <w:p w14:paraId="53AF4140"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Some graduate school</w:t>
            </w:r>
          </w:p>
          <w:p w14:paraId="056728C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Master’s degree</w:t>
            </w:r>
          </w:p>
          <w:p w14:paraId="6193ABF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PhD/other professional degree                  </w:t>
            </w:r>
          </w:p>
        </w:tc>
        <w:tc>
          <w:tcPr>
            <w:tcW w:w="1740" w:type="dxa"/>
            <w:tcBorders>
              <w:top w:val="single" w:sz="4" w:space="0" w:color="auto"/>
              <w:left w:val="single" w:sz="4" w:space="0" w:color="auto"/>
              <w:bottom w:val="single" w:sz="4" w:space="0" w:color="auto"/>
              <w:right w:val="single" w:sz="4" w:space="0" w:color="auto"/>
            </w:tcBorders>
          </w:tcPr>
          <w:p w14:paraId="7939D901" w14:textId="77777777" w:rsidR="002D1216" w:rsidRPr="002D1216" w:rsidRDefault="002D1216" w:rsidP="002B0F75">
            <w:pPr>
              <w:spacing w:line="360" w:lineRule="auto"/>
              <w:rPr>
                <w:rFonts w:ascii="Cambria" w:eastAsia="Calibri" w:hAnsi="Cambria" w:cs="Calibri"/>
                <w:color w:val="000000"/>
                <w:sz w:val="24"/>
                <w:szCs w:val="24"/>
              </w:rPr>
            </w:pPr>
          </w:p>
          <w:p w14:paraId="3B47023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w:t>
            </w:r>
          </w:p>
          <w:p w14:paraId="2E2D8FD7"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1.0</w:t>
            </w:r>
          </w:p>
          <w:p w14:paraId="24F3EEF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4.6</w:t>
            </w:r>
          </w:p>
          <w:p w14:paraId="3D244F7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1.5</w:t>
            </w:r>
          </w:p>
          <w:p w14:paraId="3509E6E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20.7</w:t>
            </w:r>
          </w:p>
          <w:p w14:paraId="57EC98E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17.7</w:t>
            </w:r>
          </w:p>
          <w:p w14:paraId="2AB33727"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4.7</w:t>
            </w:r>
          </w:p>
          <w:p w14:paraId="3857AD75"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7.5</w:t>
            </w:r>
          </w:p>
          <w:p w14:paraId="16A636A0"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r>
          </w:p>
          <w:p w14:paraId="018A58C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20.3</w:t>
            </w:r>
            <w:r w:rsidRPr="002D1216">
              <w:rPr>
                <w:rFonts w:ascii="Cambria" w:eastAsia="Calibri" w:hAnsi="Cambria" w:cs="Calibri"/>
                <w:color w:val="000000"/>
                <w:sz w:val="24"/>
                <w:szCs w:val="24"/>
              </w:rPr>
              <w:br/>
            </w:r>
          </w:p>
          <w:p w14:paraId="337D0DD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4.1</w:t>
            </w:r>
            <w:r w:rsidRPr="002D1216">
              <w:rPr>
                <w:rFonts w:ascii="Cambria" w:eastAsia="Calibri" w:hAnsi="Cambria" w:cs="Calibri"/>
                <w:color w:val="000000"/>
                <w:sz w:val="24"/>
                <w:szCs w:val="24"/>
              </w:rPr>
              <w:br/>
              <w:t>13.7</w:t>
            </w:r>
          </w:p>
          <w:p w14:paraId="5F89678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4.1</w:t>
            </w:r>
          </w:p>
        </w:tc>
        <w:tc>
          <w:tcPr>
            <w:tcW w:w="1770" w:type="dxa"/>
            <w:tcBorders>
              <w:top w:val="single" w:sz="4" w:space="0" w:color="auto"/>
              <w:left w:val="single" w:sz="4" w:space="0" w:color="auto"/>
              <w:bottom w:val="single" w:sz="4" w:space="0" w:color="auto"/>
              <w:right w:val="single" w:sz="4" w:space="0" w:color="auto"/>
            </w:tcBorders>
          </w:tcPr>
          <w:p w14:paraId="355634C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br/>
              <w:t>0.2</w:t>
            </w:r>
          </w:p>
          <w:p w14:paraId="47344A7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0.9</w:t>
            </w:r>
          </w:p>
          <w:p w14:paraId="3C1A186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4.6</w:t>
            </w:r>
          </w:p>
          <w:p w14:paraId="502687A6"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1.4</w:t>
            </w:r>
          </w:p>
          <w:p w14:paraId="712EC48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20.6</w:t>
            </w:r>
          </w:p>
          <w:p w14:paraId="2A36EF26"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17.4</w:t>
            </w:r>
          </w:p>
          <w:p w14:paraId="188158F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4.9</w:t>
            </w:r>
          </w:p>
          <w:p w14:paraId="353E3B7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7.1</w:t>
            </w:r>
          </w:p>
          <w:p w14:paraId="2F7B3DBC" w14:textId="77777777" w:rsidR="002D1216" w:rsidRPr="002D1216" w:rsidRDefault="002D1216" w:rsidP="002B0F75">
            <w:pPr>
              <w:spacing w:line="360" w:lineRule="auto"/>
              <w:rPr>
                <w:rFonts w:ascii="Cambria" w:eastAsia="Calibri" w:hAnsi="Cambria" w:cs="Calibri"/>
                <w:color w:val="000000"/>
                <w:sz w:val="24"/>
                <w:szCs w:val="24"/>
              </w:rPr>
            </w:pPr>
          </w:p>
          <w:p w14:paraId="25FC2D6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21.0</w:t>
            </w:r>
            <w:r w:rsidRPr="002D1216">
              <w:rPr>
                <w:rFonts w:ascii="Cambria" w:eastAsia="Calibri" w:hAnsi="Cambria" w:cs="Calibri"/>
                <w:color w:val="000000"/>
                <w:sz w:val="24"/>
                <w:szCs w:val="24"/>
              </w:rPr>
              <w:br/>
            </w:r>
          </w:p>
          <w:p w14:paraId="5667065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4.0</w:t>
            </w:r>
            <w:r w:rsidRPr="002D1216">
              <w:rPr>
                <w:rFonts w:ascii="Cambria" w:eastAsia="Calibri" w:hAnsi="Cambria" w:cs="Calibri"/>
                <w:color w:val="000000"/>
                <w:sz w:val="24"/>
                <w:szCs w:val="24"/>
              </w:rPr>
              <w:br/>
              <w:t>14.0</w:t>
            </w:r>
          </w:p>
          <w:p w14:paraId="496BE2D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4.1</w:t>
            </w:r>
          </w:p>
        </w:tc>
        <w:tc>
          <w:tcPr>
            <w:tcW w:w="1800" w:type="dxa"/>
            <w:tcBorders>
              <w:top w:val="single" w:sz="4" w:space="0" w:color="auto"/>
              <w:left w:val="single" w:sz="4" w:space="0" w:color="auto"/>
              <w:bottom w:val="single" w:sz="4" w:space="0" w:color="auto"/>
              <w:right w:val="single" w:sz="4" w:space="0" w:color="auto"/>
            </w:tcBorders>
          </w:tcPr>
          <w:p w14:paraId="4AEB4A9F"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br/>
              <w:t>0.2</w:t>
            </w:r>
          </w:p>
          <w:p w14:paraId="3F9A85C9"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0.9</w:t>
            </w:r>
          </w:p>
          <w:p w14:paraId="260B4990"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4.6</w:t>
            </w:r>
          </w:p>
          <w:p w14:paraId="1A11CF1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1.4</w:t>
            </w:r>
          </w:p>
          <w:p w14:paraId="38434F0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20.6</w:t>
            </w:r>
          </w:p>
          <w:p w14:paraId="093C4C17"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17.4</w:t>
            </w:r>
          </w:p>
          <w:p w14:paraId="693FC1D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4.9</w:t>
            </w:r>
          </w:p>
          <w:p w14:paraId="4DFBDA0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7.1</w:t>
            </w:r>
          </w:p>
          <w:p w14:paraId="51E8FE1D"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r>
          </w:p>
          <w:p w14:paraId="72696CC2"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21.0</w:t>
            </w:r>
          </w:p>
          <w:p w14:paraId="517E4097" w14:textId="77777777" w:rsidR="002D1216" w:rsidRPr="002D1216" w:rsidRDefault="002D1216" w:rsidP="002B0F75">
            <w:pPr>
              <w:spacing w:line="360" w:lineRule="auto"/>
              <w:rPr>
                <w:rFonts w:ascii="Cambria" w:eastAsia="Calibri" w:hAnsi="Cambria" w:cs="Calibri"/>
                <w:color w:val="000000"/>
                <w:sz w:val="24"/>
                <w:szCs w:val="24"/>
              </w:rPr>
            </w:pPr>
          </w:p>
          <w:p w14:paraId="7380D345"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4.0</w:t>
            </w:r>
            <w:r w:rsidRPr="002D1216">
              <w:rPr>
                <w:rFonts w:ascii="Cambria" w:eastAsia="Calibri" w:hAnsi="Cambria" w:cs="Calibri"/>
                <w:color w:val="000000"/>
                <w:sz w:val="24"/>
                <w:szCs w:val="24"/>
              </w:rPr>
              <w:br/>
              <w:t>14.0</w:t>
            </w:r>
          </w:p>
          <w:p w14:paraId="3035E5EB"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4.1</w:t>
            </w:r>
          </w:p>
        </w:tc>
        <w:tc>
          <w:tcPr>
            <w:tcW w:w="1779" w:type="dxa"/>
            <w:tcBorders>
              <w:top w:val="single" w:sz="4" w:space="0" w:color="auto"/>
              <w:left w:val="single" w:sz="4" w:space="0" w:color="auto"/>
              <w:bottom w:val="single" w:sz="4" w:space="0" w:color="auto"/>
              <w:right w:val="single" w:sz="4" w:space="0" w:color="auto"/>
            </w:tcBorders>
          </w:tcPr>
          <w:p w14:paraId="1EC238EC"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br/>
              <w:t>0.2</w:t>
            </w:r>
          </w:p>
          <w:p w14:paraId="1C0E735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1.5</w:t>
            </w:r>
          </w:p>
          <w:p w14:paraId="716B1CD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7.3</w:t>
            </w:r>
          </w:p>
          <w:p w14:paraId="353DDD83"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2.3</w:t>
            </w:r>
          </w:p>
          <w:p w14:paraId="2167C508"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21.7</w:t>
            </w:r>
          </w:p>
          <w:p w14:paraId="24FE809A"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19.8</w:t>
            </w:r>
          </w:p>
          <w:p w14:paraId="52984C5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5.3</w:t>
            </w:r>
          </w:p>
          <w:p w14:paraId="37B6835F"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6.8</w:t>
            </w:r>
          </w:p>
          <w:p w14:paraId="6FDAA974"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r>
          </w:p>
          <w:p w14:paraId="32A3AE18"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17.0</w:t>
            </w:r>
            <w:r w:rsidRPr="002D1216">
              <w:rPr>
                <w:rFonts w:ascii="Cambria" w:eastAsia="Calibri" w:hAnsi="Cambria" w:cs="Calibri"/>
                <w:color w:val="000000"/>
                <w:sz w:val="24"/>
                <w:szCs w:val="24"/>
              </w:rPr>
              <w:br/>
            </w:r>
          </w:p>
          <w:p w14:paraId="4C5A985F"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3.2</w:t>
            </w:r>
            <w:r w:rsidRPr="002D1216">
              <w:rPr>
                <w:rFonts w:ascii="Cambria" w:eastAsia="Calibri" w:hAnsi="Cambria" w:cs="Calibri"/>
                <w:color w:val="000000"/>
                <w:sz w:val="24"/>
                <w:szCs w:val="24"/>
              </w:rPr>
              <w:br/>
              <w:t>12.2</w:t>
            </w:r>
          </w:p>
          <w:p w14:paraId="4A94638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2.7</w:t>
            </w:r>
          </w:p>
        </w:tc>
      </w:tr>
      <w:tr w:rsidR="002D1216" w:rsidRPr="002D1216" w14:paraId="6CD9581F" w14:textId="77777777" w:rsidTr="1E0673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370" w:type="dxa"/>
            <w:tcBorders>
              <w:top w:val="single" w:sz="4" w:space="0" w:color="auto"/>
              <w:left w:val="single" w:sz="4" w:space="0" w:color="auto"/>
              <w:bottom w:val="single" w:sz="4" w:space="0" w:color="auto"/>
              <w:right w:val="single" w:sz="4" w:space="0" w:color="auto"/>
            </w:tcBorders>
          </w:tcPr>
          <w:p w14:paraId="011B929A" w14:textId="77777777" w:rsidR="002D1216" w:rsidRPr="002D1216" w:rsidRDefault="002D1216"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lastRenderedPageBreak/>
              <w:t>Age at interview</w:t>
            </w:r>
          </w:p>
        </w:tc>
        <w:tc>
          <w:tcPr>
            <w:tcW w:w="1740" w:type="dxa"/>
            <w:tcBorders>
              <w:top w:val="single" w:sz="4" w:space="0" w:color="auto"/>
              <w:left w:val="single" w:sz="4" w:space="0" w:color="auto"/>
              <w:bottom w:val="single" w:sz="4" w:space="0" w:color="auto"/>
              <w:right w:val="single" w:sz="4" w:space="0" w:color="auto"/>
            </w:tcBorders>
            <w:vAlign w:val="center"/>
          </w:tcPr>
          <w:p w14:paraId="19D3BCBE"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55 (12)</w:t>
            </w:r>
          </w:p>
        </w:tc>
        <w:tc>
          <w:tcPr>
            <w:tcW w:w="1770" w:type="dxa"/>
            <w:tcBorders>
              <w:top w:val="single" w:sz="4" w:space="0" w:color="auto"/>
              <w:left w:val="single" w:sz="4" w:space="0" w:color="auto"/>
              <w:bottom w:val="single" w:sz="4" w:space="0" w:color="auto"/>
              <w:right w:val="single" w:sz="4" w:space="0" w:color="auto"/>
            </w:tcBorders>
            <w:vAlign w:val="center"/>
          </w:tcPr>
          <w:p w14:paraId="6AFC9199"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54 (12)</w:t>
            </w:r>
          </w:p>
        </w:tc>
        <w:tc>
          <w:tcPr>
            <w:tcW w:w="1800" w:type="dxa"/>
            <w:tcBorders>
              <w:top w:val="single" w:sz="4" w:space="0" w:color="auto"/>
              <w:left w:val="single" w:sz="4" w:space="0" w:color="auto"/>
              <w:bottom w:val="single" w:sz="4" w:space="0" w:color="auto"/>
              <w:right w:val="single" w:sz="4" w:space="0" w:color="auto"/>
            </w:tcBorders>
            <w:vAlign w:val="center"/>
          </w:tcPr>
          <w:p w14:paraId="766A9859"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54 (12)</w:t>
            </w:r>
          </w:p>
        </w:tc>
        <w:tc>
          <w:tcPr>
            <w:tcW w:w="1779" w:type="dxa"/>
            <w:tcBorders>
              <w:top w:val="single" w:sz="4" w:space="0" w:color="auto"/>
              <w:left w:val="single" w:sz="4" w:space="0" w:color="auto"/>
              <w:bottom w:val="single" w:sz="4" w:space="0" w:color="auto"/>
              <w:right w:val="single" w:sz="4" w:space="0" w:color="auto"/>
            </w:tcBorders>
            <w:vAlign w:val="center"/>
          </w:tcPr>
          <w:p w14:paraId="72637701" w14:textId="77777777" w:rsidR="002D1216" w:rsidRPr="002D1216" w:rsidRDefault="002D1216"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55 (12)</w:t>
            </w:r>
          </w:p>
        </w:tc>
      </w:tr>
    </w:tbl>
    <w:p w14:paraId="691699B7" w14:textId="77777777" w:rsidR="002D1216" w:rsidRPr="002D1216" w:rsidRDefault="002D1216" w:rsidP="002B0F75">
      <w:pPr>
        <w:spacing w:after="0" w:line="360" w:lineRule="auto"/>
        <w:rPr>
          <w:rFonts w:ascii="Cambria" w:eastAsia="Calibri" w:hAnsi="Cambria" w:cs="Calibri"/>
          <w:b/>
          <w:bCs/>
          <w:color w:val="000000"/>
          <w:sz w:val="24"/>
          <w:szCs w:val="24"/>
        </w:rPr>
      </w:pPr>
    </w:p>
    <w:p w14:paraId="2313F672" w14:textId="77777777" w:rsidR="002D1216" w:rsidRP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Objectives 1–2</w:t>
      </w:r>
    </w:p>
    <w:p w14:paraId="4FE23BA5" w14:textId="77777777" w:rsidR="002D1216" w:rsidRP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Correlations</w:t>
      </w:r>
    </w:p>
    <w:p w14:paraId="351706A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Relationships were initially assessed using non-parametric Spearman correlations (</w:t>
      </w:r>
      <w:r w:rsidRPr="002D1216">
        <w:rPr>
          <w:rFonts w:ascii="Cambria" w:eastAsia="Calibri" w:hAnsi="Cambria" w:cs="Calibri"/>
          <w:b/>
          <w:bCs/>
          <w:color w:val="000000"/>
          <w:sz w:val="24"/>
          <w:szCs w:val="24"/>
        </w:rPr>
        <w:t>Figure 3</w:t>
      </w:r>
      <w:r w:rsidRPr="002D1216">
        <w:rPr>
          <w:rFonts w:ascii="Cambria" w:eastAsia="Calibri" w:hAnsi="Cambria" w:cs="Calibri"/>
          <w:color w:val="000000"/>
          <w:sz w:val="24"/>
          <w:szCs w:val="24"/>
        </w:rPr>
        <w:t>). The correlation indicated that CAs (aside from minimization), anxiety and CRP were all significantly positively associated with chronic pain presence. Further, CRP was significantly correlated with anxiety (r = 0.07, gender (male: r = -0.16, female: r = 0.16), income (total household: r = -0.11, total: r = -0.12), highest education (r = -0.15), race (white: r = -0.15, Black: r = 0.16), and the presence of chronic pain (r = 0.14). Additionally, CRP was significantly correlated with two of the CTQ subscales; emotional abuse (r = 0.07) and physical neglect (r = 0.06). Relationships among these variables were explored further with the SEM and logistic regressions.</w:t>
      </w:r>
    </w:p>
    <w:p w14:paraId="4F67FD9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noProof/>
          <w:color w:val="000000"/>
          <w:sz w:val="24"/>
          <w:szCs w:val="24"/>
        </w:rPr>
        <w:lastRenderedPageBreak/>
        <w:drawing>
          <wp:inline distT="0" distB="0" distL="0" distR="0" wp14:anchorId="0A364BDA" wp14:editId="55AEE792">
            <wp:extent cx="6290045" cy="5094514"/>
            <wp:effectExtent l="0" t="0" r="0" b="0"/>
            <wp:docPr id="1874378068" name="Picture 187437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21">
                      <a:extLst>
                        <a:ext uri="{28A0092B-C50C-407E-A947-70E740481C1C}">
                          <a14:useLocalDpi xmlns:a14="http://schemas.microsoft.com/office/drawing/2010/main" val="0"/>
                        </a:ext>
                      </a:extLst>
                    </a:blip>
                    <a:srcRect l="5876" t="7793" r="8741"/>
                    <a:stretch/>
                  </pic:blipFill>
                  <pic:spPr bwMode="auto">
                    <a:xfrm>
                      <a:off x="0" y="0"/>
                      <a:ext cx="6311401" cy="5111811"/>
                    </a:xfrm>
                    <a:prstGeom prst="rect">
                      <a:avLst/>
                    </a:prstGeom>
                    <a:noFill/>
                    <a:ln>
                      <a:noFill/>
                    </a:ln>
                    <a:extLst>
                      <a:ext uri="{53640926-AAD7-44D8-BBD7-CCE9431645EC}">
                        <a14:shadowObscured xmlns:a14="http://schemas.microsoft.com/office/drawing/2010/main"/>
                      </a:ext>
                    </a:extLst>
                  </pic:spPr>
                </pic:pic>
              </a:graphicData>
            </a:graphic>
          </wp:inline>
        </w:drawing>
      </w:r>
    </w:p>
    <w:p w14:paraId="6378E638"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Figure 3. Heatmap of correlations between variables of interest and CRP</w:t>
      </w:r>
    </w:p>
    <w:p w14:paraId="3024D40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w:t>
      </w:r>
      <w:proofErr w:type="gramStart"/>
      <w:r w:rsidRPr="002D1216">
        <w:rPr>
          <w:rFonts w:ascii="Cambria" w:eastAsia="Calibri" w:hAnsi="Cambria" w:cs="Calibri"/>
          <w:b/>
          <w:bCs/>
          <w:color w:val="000000"/>
          <w:sz w:val="24"/>
          <w:szCs w:val="24"/>
        </w:rPr>
        <w:t>X</w:t>
      </w:r>
      <w:r w:rsidRPr="002D1216">
        <w:rPr>
          <w:rFonts w:ascii="Cambria" w:eastAsia="Calibri" w:hAnsi="Cambria" w:cs="Calibri"/>
          <w:color w:val="000000"/>
          <w:sz w:val="24"/>
          <w:szCs w:val="24"/>
        </w:rPr>
        <w:t>'s</w:t>
      </w:r>
      <w:proofErr w:type="gramEnd"/>
      <w:r w:rsidRPr="002D1216">
        <w:rPr>
          <w:rFonts w:ascii="Cambria" w:eastAsia="Calibri" w:hAnsi="Cambria" w:cs="Calibri"/>
          <w:color w:val="000000"/>
          <w:sz w:val="24"/>
          <w:szCs w:val="24"/>
        </w:rPr>
        <w:t xml:space="preserve"> indicate the correlation is insignificant at the 95% level. N = 1255.</w:t>
      </w:r>
    </w:p>
    <w:p w14:paraId="0FE7CB2C" w14:textId="77777777" w:rsidR="002D1216" w:rsidRPr="002D1216" w:rsidRDefault="002D1216" w:rsidP="002B0F75">
      <w:pPr>
        <w:spacing w:after="0" w:line="360" w:lineRule="auto"/>
        <w:rPr>
          <w:rFonts w:ascii="Cambria" w:eastAsia="Calibri" w:hAnsi="Cambria" w:cs="Calibri"/>
          <w:color w:val="000000"/>
          <w:sz w:val="24"/>
          <w:szCs w:val="24"/>
        </w:rPr>
      </w:pPr>
    </w:p>
    <w:p w14:paraId="4A69FF4C" w14:textId="77777777" w:rsidR="002D1216" w:rsidRPr="002D1216" w:rsidRDefault="002D1216" w:rsidP="002B0F75">
      <w:pPr>
        <w:spacing w:after="0" w:line="360" w:lineRule="auto"/>
        <w:rPr>
          <w:rFonts w:ascii="Cambria" w:eastAsia="Calibri" w:hAnsi="Cambria" w:cs="Calibri"/>
          <w:color w:val="000000"/>
          <w:sz w:val="24"/>
          <w:szCs w:val="24"/>
        </w:rPr>
      </w:pPr>
    </w:p>
    <w:p w14:paraId="5F73D5CF" w14:textId="77777777" w:rsid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SEM results</w:t>
      </w:r>
    </w:p>
    <w:p w14:paraId="524CB4F9" w14:textId="77777777" w:rsidR="00A70646" w:rsidRPr="002D1216" w:rsidRDefault="00A70646" w:rsidP="002B0F75">
      <w:pPr>
        <w:spacing w:after="0" w:line="360" w:lineRule="auto"/>
        <w:rPr>
          <w:rFonts w:ascii="Cambria" w:eastAsia="Calibri" w:hAnsi="Cambria" w:cs="Calibri"/>
          <w:i/>
          <w:iCs/>
          <w:color w:val="000000"/>
          <w:sz w:val="24"/>
          <w:szCs w:val="24"/>
        </w:rPr>
      </w:pPr>
    </w:p>
    <w:p w14:paraId="594D0779" w14:textId="57294FC0" w:rsidR="00041294" w:rsidRDefault="002D1216" w:rsidP="002B0F75">
      <w:pPr>
        <w:spacing w:after="0" w:line="360" w:lineRule="auto"/>
        <w:rPr>
          <w:rFonts w:ascii="Cambria" w:eastAsia="Calibri" w:hAnsi="Cambria" w:cs="Calibri"/>
          <w:color w:val="000000"/>
          <w:sz w:val="24"/>
          <w:szCs w:val="24"/>
        </w:rPr>
      </w:pPr>
      <w:r w:rsidRPr="6E2346AC">
        <w:rPr>
          <w:rFonts w:ascii="Cambria" w:eastAsia="Calibri" w:hAnsi="Cambria" w:cs="Calibri"/>
          <w:color w:val="000000" w:themeColor="text1"/>
          <w:sz w:val="24"/>
          <w:szCs w:val="24"/>
        </w:rPr>
        <w:t xml:space="preserve">The best fitting SEM model that was achieved is displayed in </w:t>
      </w:r>
      <w:r w:rsidRPr="6E2346AC">
        <w:rPr>
          <w:rFonts w:ascii="Cambria" w:eastAsia="Calibri" w:hAnsi="Cambria" w:cs="Calibri"/>
          <w:b/>
          <w:bCs/>
          <w:color w:val="000000" w:themeColor="text1"/>
          <w:sz w:val="24"/>
          <w:szCs w:val="24"/>
        </w:rPr>
        <w:t xml:space="preserve">Figure 4. </w:t>
      </w:r>
      <w:r w:rsidRPr="6E2346AC">
        <w:rPr>
          <w:rFonts w:ascii="Cambria" w:eastAsia="Calibri" w:hAnsi="Cambria" w:cs="Calibri"/>
          <w:color w:val="000000" w:themeColor="text1"/>
          <w:sz w:val="24"/>
          <w:szCs w:val="24"/>
        </w:rPr>
        <w:t>The “</w:t>
      </w:r>
      <w:proofErr w:type="spellStart"/>
      <w:r w:rsidRPr="6E2346AC">
        <w:rPr>
          <w:rFonts w:ascii="Cambria" w:eastAsia="Calibri" w:hAnsi="Cambria" w:cs="Calibri"/>
          <w:color w:val="000000" w:themeColor="text1"/>
          <w:sz w:val="24"/>
          <w:szCs w:val="24"/>
        </w:rPr>
        <w:t>Mardia’s</w:t>
      </w:r>
      <w:proofErr w:type="spellEnd"/>
      <w:r w:rsidRPr="6E2346AC">
        <w:rPr>
          <w:rFonts w:ascii="Cambria" w:eastAsia="Calibri" w:hAnsi="Cambria" w:cs="Calibri"/>
          <w:color w:val="000000" w:themeColor="text1"/>
          <w:sz w:val="24"/>
          <w:szCs w:val="24"/>
        </w:rPr>
        <w:t xml:space="preserve"> multivariate normality test” in the R package MVN (</w:t>
      </w:r>
      <w:hyperlink r:id="rId122">
        <w:r w:rsidRPr="6E2346AC">
          <w:rPr>
            <w:rStyle w:val="Hyperlink"/>
            <w:rFonts w:ascii="Cambria" w:eastAsia="Calibri" w:hAnsi="Cambria" w:cs="Calibri"/>
            <w:sz w:val="24"/>
            <w:szCs w:val="24"/>
          </w:rPr>
          <w:t>https://cran.r-project.org/web/packages/MVN/vignettes/MVN.html</w:t>
        </w:r>
      </w:hyperlink>
      <w:r w:rsidRPr="6E2346AC">
        <w:rPr>
          <w:rFonts w:ascii="Cambria" w:eastAsia="Calibri" w:hAnsi="Cambria" w:cs="Calibri"/>
          <w:color w:val="000000" w:themeColor="text1"/>
          <w:sz w:val="24"/>
          <w:szCs w:val="24"/>
        </w:rPr>
        <w:t xml:space="preserve">) was used to calculate </w:t>
      </w:r>
      <w:proofErr w:type="spellStart"/>
      <w:r w:rsidRPr="6E2346AC">
        <w:rPr>
          <w:rFonts w:ascii="Cambria" w:eastAsia="Calibri" w:hAnsi="Cambria" w:cs="Calibri"/>
          <w:color w:val="000000" w:themeColor="text1"/>
          <w:sz w:val="24"/>
          <w:szCs w:val="24"/>
        </w:rPr>
        <w:t>Mardia’s</w:t>
      </w:r>
      <w:proofErr w:type="spellEnd"/>
      <w:r w:rsidRPr="6E2346AC">
        <w:rPr>
          <w:rFonts w:ascii="Cambria" w:eastAsia="Calibri" w:hAnsi="Cambria" w:cs="Calibri"/>
          <w:color w:val="000000" w:themeColor="text1"/>
          <w:sz w:val="24"/>
          <w:szCs w:val="24"/>
        </w:rPr>
        <w:t xml:space="preserve"> multivariate skewness and kurtosis coefficients and the corresponding significance (H0 being the data are multivariate normally distributed). </w:t>
      </w:r>
      <w:proofErr w:type="spellStart"/>
      <w:r w:rsidRPr="6E2346AC">
        <w:rPr>
          <w:rFonts w:ascii="Cambria" w:eastAsia="Calibri" w:hAnsi="Cambria" w:cs="Calibri"/>
          <w:color w:val="000000" w:themeColor="text1"/>
          <w:sz w:val="24"/>
          <w:szCs w:val="24"/>
        </w:rPr>
        <w:t>Mardia’s</w:t>
      </w:r>
      <w:proofErr w:type="spellEnd"/>
      <w:r w:rsidRPr="6E2346AC">
        <w:rPr>
          <w:rFonts w:ascii="Cambria" w:eastAsia="Calibri" w:hAnsi="Cambria" w:cs="Calibri"/>
          <w:color w:val="000000" w:themeColor="text1"/>
          <w:sz w:val="24"/>
          <w:szCs w:val="24"/>
        </w:rPr>
        <w:t xml:space="preserve"> skewness was p &lt; 0.001 </w:t>
      </w:r>
      <w:r w:rsidRPr="6E2346AC">
        <w:rPr>
          <w:rFonts w:ascii="Cambria" w:eastAsia="Calibri" w:hAnsi="Cambria" w:cs="Calibri"/>
          <w:color w:val="000000" w:themeColor="text1"/>
          <w:sz w:val="24"/>
          <w:szCs w:val="24"/>
        </w:rPr>
        <w:lastRenderedPageBreak/>
        <w:t xml:space="preserve">(statistic = 148020) and </w:t>
      </w:r>
      <w:proofErr w:type="spellStart"/>
      <w:r w:rsidRPr="6E2346AC">
        <w:rPr>
          <w:rFonts w:ascii="Cambria" w:eastAsia="Calibri" w:hAnsi="Cambria" w:cs="Calibri"/>
          <w:color w:val="000000" w:themeColor="text1"/>
          <w:sz w:val="24"/>
          <w:szCs w:val="24"/>
        </w:rPr>
        <w:t>Mardia’s</w:t>
      </w:r>
      <w:proofErr w:type="spellEnd"/>
      <w:r w:rsidRPr="6E2346AC">
        <w:rPr>
          <w:rFonts w:ascii="Cambria" w:eastAsia="Calibri" w:hAnsi="Cambria" w:cs="Calibri"/>
          <w:color w:val="000000" w:themeColor="text1"/>
          <w:sz w:val="24"/>
          <w:szCs w:val="24"/>
        </w:rPr>
        <w:t xml:space="preserve"> kurtosis was p &lt; 0.001 (statistic = 469), thus, the data were not multivariate normally distributed.</w:t>
      </w:r>
      <w:r w:rsidR="00CD2F5C" w:rsidRPr="6E2346AC">
        <w:rPr>
          <w:rFonts w:ascii="Cambria" w:eastAsia="Calibri" w:hAnsi="Cambria" w:cs="Calibri"/>
          <w:color w:val="000000" w:themeColor="text1"/>
          <w:sz w:val="24"/>
          <w:szCs w:val="24"/>
        </w:rPr>
        <w:t xml:space="preserve"> </w:t>
      </w:r>
      <w:r w:rsidRPr="6E2346AC">
        <w:rPr>
          <w:rFonts w:ascii="Cambria" w:eastAsia="Calibri" w:hAnsi="Cambria" w:cs="Calibri"/>
          <w:color w:val="000000" w:themeColor="text1"/>
          <w:sz w:val="24"/>
          <w:szCs w:val="24"/>
        </w:rPr>
        <w:t xml:space="preserve">Therefore, the </w:t>
      </w:r>
      <w:proofErr w:type="spellStart"/>
      <w:r w:rsidRPr="6E2346AC">
        <w:rPr>
          <w:rFonts w:ascii="Cambria" w:eastAsia="Calibri" w:hAnsi="Cambria" w:cs="Calibri"/>
          <w:color w:val="000000" w:themeColor="text1"/>
          <w:sz w:val="24"/>
          <w:szCs w:val="24"/>
        </w:rPr>
        <w:t>lavaan</w:t>
      </w:r>
      <w:proofErr w:type="spellEnd"/>
      <w:r w:rsidRPr="6E2346AC">
        <w:rPr>
          <w:rFonts w:ascii="Cambria" w:eastAsia="Calibri" w:hAnsi="Cambria" w:cs="Calibri"/>
          <w:color w:val="000000" w:themeColor="text1"/>
          <w:sz w:val="24"/>
          <w:szCs w:val="24"/>
        </w:rPr>
        <w:t xml:space="preserve"> ‘robust' version of the maximum likelihood parameter estimation method (MLM), which does not assume multivariate normality was used. Based on this model, </w:t>
      </w:r>
      <w:bookmarkStart w:id="130" w:name="_Hlk167304791"/>
      <w:r w:rsidRPr="6E2346AC">
        <w:rPr>
          <w:rFonts w:ascii="Cambria" w:eastAsia="Calibri" w:hAnsi="Cambria" w:cs="Calibri"/>
          <w:color w:val="000000" w:themeColor="text1"/>
          <w:sz w:val="24"/>
          <w:szCs w:val="24"/>
        </w:rPr>
        <w:t xml:space="preserve">CAs, anxiety, and CRP all played a role in predicting chronic pain presence. </w:t>
      </w:r>
      <w:bookmarkEnd w:id="130"/>
    </w:p>
    <w:p w14:paraId="370BD1CE" w14:textId="77777777" w:rsidR="00041294" w:rsidRPr="001809E3" w:rsidRDefault="00041294" w:rsidP="002B0F75">
      <w:pPr>
        <w:spacing w:line="360" w:lineRule="auto"/>
        <w:rPr>
          <w:rFonts w:ascii="Cambria" w:eastAsia="Calibri" w:hAnsi="Cambria" w:cs="Calibri"/>
          <w:sz w:val="24"/>
          <w:szCs w:val="24"/>
        </w:rPr>
        <w:sectPr w:rsidR="00041294" w:rsidRPr="001809E3" w:rsidSect="002B0F75">
          <w:pgSz w:w="12240" w:h="15840"/>
          <w:pgMar w:top="1440" w:right="1440" w:bottom="1440" w:left="1440" w:header="720" w:footer="720" w:gutter="0"/>
          <w:cols w:space="720"/>
          <w:docGrid w:linePitch="360"/>
        </w:sectPr>
      </w:pPr>
    </w:p>
    <w:p w14:paraId="5E42F1B1" w14:textId="3D3E2689"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noProof/>
          <w:color w:val="000000"/>
          <w:sz w:val="24"/>
          <w:szCs w:val="24"/>
        </w:rPr>
        <w:lastRenderedPageBreak/>
        <w:drawing>
          <wp:inline distT="0" distB="0" distL="0" distR="0" wp14:anchorId="46FFD0DC" wp14:editId="60508270">
            <wp:extent cx="7921690" cy="5545181"/>
            <wp:effectExtent l="0" t="0" r="3175" b="0"/>
            <wp:docPr id="1023680012" name="Picture 102368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680012" name="Picture 1023680012"/>
                    <pic:cNvPicPr>
                      <a:picLocks noChangeAspect="1"/>
                    </pic:cNvPicPr>
                  </pic:nvPicPr>
                  <pic:blipFill>
                    <a:blip r:embed="rId123" cstate="print">
                      <a:extLst>
                        <a:ext uri="{BEBA8EAE-BF5A-486C-A8C5-ECC9F3942E4B}">
                          <a14:imgProps xmlns:a14="http://schemas.microsoft.com/office/drawing/2010/main">
                            <a14:imgLayer r:embed="rId124">
                              <a14:imgEffect>
                                <a14:sharpenSoften amount="4000"/>
                              </a14:imgEffect>
                              <a14:imgEffect>
                                <a14:brightnessContrast contrast="5000"/>
                              </a14:imgEffect>
                            </a14:imgLayer>
                          </a14:imgProps>
                        </a:ext>
                        <a:ext uri="{28A0092B-C50C-407E-A947-70E740481C1C}">
                          <a14:useLocalDpi xmlns:a14="http://schemas.microsoft.com/office/drawing/2010/main" val="0"/>
                        </a:ext>
                      </a:extLst>
                    </a:blip>
                    <a:stretch>
                      <a:fillRect/>
                    </a:stretch>
                  </pic:blipFill>
                  <pic:spPr bwMode="auto">
                    <a:xfrm>
                      <a:off x="0" y="0"/>
                      <a:ext cx="7942530" cy="5559769"/>
                    </a:xfrm>
                    <a:prstGeom prst="rect">
                      <a:avLst/>
                    </a:prstGeom>
                    <a:noFill/>
                    <a:ln>
                      <a:noFill/>
                    </a:ln>
                  </pic:spPr>
                </pic:pic>
              </a:graphicData>
            </a:graphic>
          </wp:inline>
        </w:drawing>
      </w:r>
    </w:p>
    <w:p w14:paraId="493EF921"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 xml:space="preserve">Figure 4. Final SEM </w:t>
      </w:r>
    </w:p>
    <w:p w14:paraId="5B7C9FE7" w14:textId="77777777" w:rsidR="00041294" w:rsidRDefault="00041294" w:rsidP="002B0F75">
      <w:pPr>
        <w:spacing w:line="360" w:lineRule="auto"/>
        <w:rPr>
          <w:rFonts w:ascii="Cambria" w:eastAsia="Calibri" w:hAnsi="Cambria" w:cs="Calibri"/>
          <w:color w:val="000000"/>
          <w:sz w:val="24"/>
          <w:szCs w:val="24"/>
        </w:rPr>
        <w:sectPr w:rsidR="00041294" w:rsidSect="002B0F75">
          <w:pgSz w:w="15840" w:h="12240" w:orient="landscape"/>
          <w:pgMar w:top="1440" w:right="1440" w:bottom="1440" w:left="1440" w:header="720" w:footer="720" w:gutter="0"/>
          <w:cols w:space="720"/>
          <w:docGrid w:linePitch="360"/>
        </w:sectPr>
      </w:pPr>
    </w:p>
    <w:p w14:paraId="0FE83B10" w14:textId="17C5861D"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The parameters for this model were CFI: 0.989 (&gt;0.90), RMSEA: 0.087 (&lt;0.05), χ² = 865, </w:t>
      </w:r>
      <w:proofErr w:type="spellStart"/>
      <w:r w:rsidRPr="002D1216">
        <w:rPr>
          <w:rFonts w:ascii="Cambria" w:eastAsia="Calibri" w:hAnsi="Cambria" w:cs="Calibri"/>
          <w:color w:val="000000"/>
          <w:sz w:val="24"/>
          <w:szCs w:val="24"/>
        </w:rPr>
        <w:t>df</w:t>
      </w:r>
      <w:proofErr w:type="spellEnd"/>
      <w:r w:rsidRPr="002D1216">
        <w:rPr>
          <w:rFonts w:ascii="Cambria" w:eastAsia="Calibri" w:hAnsi="Cambria" w:cs="Calibri"/>
          <w:color w:val="000000"/>
          <w:sz w:val="24"/>
          <w:szCs w:val="24"/>
        </w:rPr>
        <w:t xml:space="preserve"> = 88, p &lt; 0.001. </w:t>
      </w:r>
    </w:p>
    <w:p w14:paraId="571A6A33" w14:textId="77777777" w:rsidR="00A70646" w:rsidRPr="002D1216" w:rsidRDefault="00A70646" w:rsidP="002B0F75">
      <w:pPr>
        <w:spacing w:after="0" w:line="360" w:lineRule="auto"/>
        <w:rPr>
          <w:rFonts w:ascii="Cambria" w:eastAsia="Calibri" w:hAnsi="Cambria" w:cs="Calibri"/>
          <w:color w:val="000000"/>
          <w:sz w:val="24"/>
          <w:szCs w:val="24"/>
        </w:rPr>
      </w:pPr>
    </w:p>
    <w:p w14:paraId="5B2E80A5" w14:textId="77777777" w:rsid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 xml:space="preserve">Regressions predicting chronic pain presence </w:t>
      </w:r>
    </w:p>
    <w:p w14:paraId="35B36161" w14:textId="77777777" w:rsidR="00A70646" w:rsidRPr="002D1216" w:rsidRDefault="00A70646" w:rsidP="002B0F75">
      <w:pPr>
        <w:spacing w:after="0" w:line="360" w:lineRule="auto"/>
        <w:rPr>
          <w:rFonts w:ascii="Cambria" w:eastAsia="Calibri" w:hAnsi="Cambria" w:cs="Calibri"/>
          <w:i/>
          <w:iCs/>
          <w:color w:val="000000"/>
          <w:sz w:val="24"/>
          <w:szCs w:val="24"/>
        </w:rPr>
      </w:pPr>
    </w:p>
    <w:p w14:paraId="220A1DBF" w14:textId="0E877072" w:rsid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A general linear model (GLM) with logit link function (logistic regression) was used to predict the binary, dependent variable of chronic pain presence. When conducting </w:t>
      </w:r>
      <w:r w:rsidR="0003790A"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against all variables of interest, the margin for error on the race variables was very large, to the extent that the interaction coefficients with race variables were not defined. Therefore, race was removed from the analyses. </w:t>
      </w:r>
      <w:bookmarkStart w:id="131" w:name="_Hlk165209251"/>
      <w:r w:rsidRPr="002D1216">
        <w:rPr>
          <w:rFonts w:ascii="Cambria" w:eastAsia="Calibri" w:hAnsi="Cambria" w:cs="Calibri"/>
          <w:color w:val="000000"/>
          <w:sz w:val="24"/>
          <w:szCs w:val="24"/>
        </w:rPr>
        <w:t xml:space="preserve">The results of model 1 (n = 1173) examining the effect of ACEs and </w:t>
      </w:r>
      <w:bookmarkStart w:id="132" w:name="_Hlk130319489"/>
      <w:r w:rsidRPr="002D1216">
        <w:rPr>
          <w:rFonts w:ascii="Cambria" w:eastAsia="Calibri" w:hAnsi="Cambria" w:cs="Calibri"/>
          <w:color w:val="000000"/>
          <w:sz w:val="24"/>
          <w:szCs w:val="24"/>
        </w:rPr>
        <w:t>anxiety on chronic pain</w:t>
      </w:r>
      <w:bookmarkEnd w:id="131"/>
      <w:bookmarkEnd w:id="132"/>
      <w:r w:rsidRPr="002D1216">
        <w:rPr>
          <w:rFonts w:ascii="Cambria" w:eastAsia="Calibri" w:hAnsi="Cambria" w:cs="Calibri"/>
          <w:color w:val="000000"/>
          <w:sz w:val="24"/>
          <w:szCs w:val="24"/>
        </w:rPr>
        <w:t xml:space="preserve">, as well as CRP, are detailed in </w:t>
      </w:r>
      <w:r w:rsidRPr="002D1216">
        <w:rPr>
          <w:rFonts w:ascii="Cambria" w:eastAsia="Calibri" w:hAnsi="Cambria" w:cs="Calibri"/>
          <w:b/>
          <w:bCs/>
          <w:color w:val="000000"/>
          <w:sz w:val="24"/>
          <w:szCs w:val="24"/>
        </w:rPr>
        <w:t>Table 3</w:t>
      </w:r>
      <w:r w:rsidRPr="002D1216">
        <w:rPr>
          <w:rFonts w:ascii="Cambria" w:eastAsia="Calibri" w:hAnsi="Cambria" w:cs="Calibri"/>
          <w:color w:val="000000"/>
          <w:sz w:val="24"/>
          <w:szCs w:val="24"/>
        </w:rPr>
        <w:t xml:space="preserve"> and visualized in </w:t>
      </w:r>
      <w:r w:rsidRPr="002D1216">
        <w:rPr>
          <w:rFonts w:ascii="Cambria" w:eastAsia="Calibri" w:hAnsi="Cambria" w:cs="Calibri"/>
          <w:b/>
          <w:bCs/>
          <w:color w:val="000000"/>
          <w:sz w:val="24"/>
          <w:szCs w:val="24"/>
        </w:rPr>
        <w:t>Figure 5</w:t>
      </w:r>
      <w:r w:rsidRPr="002D1216">
        <w:rPr>
          <w:rFonts w:ascii="Cambria" w:eastAsia="Calibri" w:hAnsi="Cambria" w:cs="Calibri"/>
          <w:color w:val="000000"/>
          <w:sz w:val="24"/>
          <w:szCs w:val="24"/>
        </w:rPr>
        <w:t>.</w:t>
      </w:r>
    </w:p>
    <w:p w14:paraId="721A6F7E" w14:textId="77777777" w:rsidR="00A70646" w:rsidRPr="002D1216" w:rsidRDefault="00A70646" w:rsidP="002B0F75">
      <w:pPr>
        <w:spacing w:after="0" w:line="360" w:lineRule="auto"/>
        <w:rPr>
          <w:rFonts w:ascii="Cambria" w:eastAsia="Calibri" w:hAnsi="Cambria" w:cs="Calibri"/>
          <w:color w:val="000000"/>
          <w:sz w:val="24"/>
          <w:szCs w:val="24"/>
        </w:rPr>
      </w:pPr>
    </w:p>
    <w:p w14:paraId="79240020" w14:textId="77777777" w:rsidR="002D1216" w:rsidRDefault="002D1216" w:rsidP="002B0F75">
      <w:pPr>
        <w:spacing w:after="0" w:line="360" w:lineRule="auto"/>
        <w:rPr>
          <w:rFonts w:ascii="Cambria" w:eastAsia="Calibri" w:hAnsi="Cambria" w:cs="Calibri"/>
          <w:color w:val="000000"/>
          <w:sz w:val="24"/>
          <w:szCs w:val="24"/>
        </w:rPr>
      </w:pPr>
      <w:bookmarkStart w:id="133" w:name="_Hlk168053582"/>
      <w:r w:rsidRPr="002D1216">
        <w:rPr>
          <w:rFonts w:ascii="Cambria" w:eastAsia="Calibri" w:hAnsi="Cambria" w:cs="Calibri"/>
          <w:color w:val="000000"/>
          <w:sz w:val="24"/>
          <w:szCs w:val="24"/>
        </w:rPr>
        <w:t xml:space="preserve">None of the </w:t>
      </w:r>
      <w:bookmarkStart w:id="134" w:name="_Hlk167299268"/>
      <w:r w:rsidRPr="002D1216">
        <w:rPr>
          <w:rFonts w:ascii="Cambria" w:eastAsia="Calibri" w:hAnsi="Cambria" w:cs="Calibri"/>
          <w:color w:val="000000"/>
          <w:sz w:val="24"/>
          <w:szCs w:val="24"/>
        </w:rPr>
        <w:t>CAs, anxiety, or CRP significantly predicted chronic pain presence as main effects independently</w:t>
      </w:r>
      <w:bookmarkEnd w:id="133"/>
      <w:r w:rsidRPr="002D1216">
        <w:rPr>
          <w:rFonts w:ascii="Cambria" w:eastAsia="Calibri" w:hAnsi="Cambria" w:cs="Calibri"/>
          <w:color w:val="000000"/>
          <w:sz w:val="24"/>
          <w:szCs w:val="24"/>
        </w:rPr>
        <w:t xml:space="preserve">. However, </w:t>
      </w:r>
      <w:bookmarkStart w:id="135" w:name="_Hlk167294447"/>
      <w:bookmarkStart w:id="136" w:name="_Hlk165209210"/>
      <w:r w:rsidRPr="002D1216">
        <w:rPr>
          <w:rFonts w:ascii="Cambria" w:eastAsia="Calibri" w:hAnsi="Cambria" w:cs="Calibri"/>
          <w:color w:val="000000"/>
          <w:sz w:val="24"/>
          <w:szCs w:val="24"/>
        </w:rPr>
        <w:t>female gender, total income, and highest education all independently contributed significantly to predicting chronic pain presence</w:t>
      </w:r>
      <w:bookmarkEnd w:id="135"/>
      <w:r w:rsidRPr="002D1216">
        <w:rPr>
          <w:rFonts w:ascii="Cambria" w:eastAsia="Calibri" w:hAnsi="Cambria" w:cs="Calibri"/>
          <w:color w:val="000000"/>
          <w:sz w:val="24"/>
          <w:szCs w:val="24"/>
        </w:rPr>
        <w:t xml:space="preserve">. </w:t>
      </w:r>
      <w:bookmarkEnd w:id="134"/>
      <w:r w:rsidRPr="002D1216">
        <w:rPr>
          <w:rFonts w:ascii="Cambria" w:eastAsia="Calibri" w:hAnsi="Cambria" w:cs="Calibri"/>
          <w:color w:val="000000"/>
          <w:sz w:val="24"/>
          <w:szCs w:val="24"/>
        </w:rPr>
        <w:t xml:space="preserve">For the socio-demographic control variables, every one-unit increase in highest education (education scale where 1 is lowest level, 12 is highest), the log odds of having chronic pain (vs not having chronic pain) decreased by 0.68. For every one-unit decrease in total income, the log odds of having chronic pain (vs not having chronic pain) increased by 0.00007. Reported female gender vs male decreased the log odds of having chronic pain by 3.06. </w:t>
      </w:r>
      <w:bookmarkEnd w:id="136"/>
    </w:p>
    <w:p w14:paraId="1C7FFDEB" w14:textId="77777777" w:rsidR="00A70646" w:rsidRPr="002D1216" w:rsidRDefault="00A70646" w:rsidP="002B0F75">
      <w:pPr>
        <w:spacing w:after="0" w:line="360" w:lineRule="auto"/>
        <w:rPr>
          <w:rFonts w:ascii="Cambria" w:eastAsia="Calibri" w:hAnsi="Cambria" w:cs="Calibri"/>
          <w:color w:val="000000"/>
          <w:sz w:val="24"/>
          <w:szCs w:val="24"/>
        </w:rPr>
      </w:pPr>
    </w:p>
    <w:p w14:paraId="7525C05C"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Table 3: CA, Anxiety, and CRP and interactions as a predictors</w:t>
      </w:r>
    </w:p>
    <w:tbl>
      <w:tblPr>
        <w:tblStyle w:val="PlainTable4"/>
        <w:tblW w:w="9360" w:type="dxa"/>
        <w:tblLook w:val="04A0" w:firstRow="1" w:lastRow="0" w:firstColumn="1" w:lastColumn="0" w:noHBand="0" w:noVBand="1"/>
      </w:tblPr>
      <w:tblGrid>
        <w:gridCol w:w="9360"/>
      </w:tblGrid>
      <w:tr w:rsidR="002D1216" w:rsidRPr="002D1216" w14:paraId="08C93D83" w14:textId="77777777" w:rsidTr="00FE347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60" w:type="dxa"/>
            <w:shd w:val="clear" w:color="auto" w:fill="auto"/>
            <w:noWrap/>
          </w:tcPr>
          <w:tbl>
            <w:tblPr>
              <w:tblW w:w="8572" w:type="dxa"/>
              <w:tblLook w:val="0420" w:firstRow="1" w:lastRow="0" w:firstColumn="0" w:lastColumn="0" w:noHBand="0" w:noVBand="1"/>
            </w:tblPr>
            <w:tblGrid>
              <w:gridCol w:w="3642"/>
              <w:gridCol w:w="1644"/>
              <w:gridCol w:w="1644"/>
              <w:gridCol w:w="813"/>
              <w:gridCol w:w="829"/>
            </w:tblGrid>
            <w:tr w:rsidR="002D1216" w:rsidRPr="002D1216" w14:paraId="2F4D955F" w14:textId="77777777" w:rsidTr="00FE3472">
              <w:trPr>
                <w:trHeight w:val="300"/>
                <w:tblHeader/>
              </w:trPr>
              <w:tc>
                <w:tcPr>
                  <w:tcW w:w="3852"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445189A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Variable</w:t>
                  </w:r>
                </w:p>
              </w:tc>
              <w:tc>
                <w:tcPr>
                  <w:tcW w:w="1607"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071990E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Estimate’</w:t>
                  </w:r>
                </w:p>
              </w:tc>
              <w:tc>
                <w:tcPr>
                  <w:tcW w:w="1426"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7AD79B5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Std. Error</w:t>
                  </w:r>
                </w:p>
              </w:tc>
              <w:tc>
                <w:tcPr>
                  <w:tcW w:w="835"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3C70559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z-value</w:t>
                  </w:r>
                </w:p>
              </w:tc>
              <w:tc>
                <w:tcPr>
                  <w:tcW w:w="852"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3C915A9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p-value</w:t>
                  </w:r>
                </w:p>
              </w:tc>
            </w:tr>
            <w:tr w:rsidR="002D1216" w:rsidRPr="002D1216" w14:paraId="37639D68" w14:textId="77777777" w:rsidTr="00FE3472">
              <w:trPr>
                <w:trHeight w:val="300"/>
              </w:trPr>
              <w:tc>
                <w:tcPr>
                  <w:tcW w:w="3852"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E6825A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(Constant)</w:t>
                  </w:r>
                </w:p>
              </w:tc>
              <w:tc>
                <w:tcPr>
                  <w:tcW w:w="1607"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C79E7E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0.563</w:t>
                  </w:r>
                </w:p>
              </w:tc>
              <w:tc>
                <w:tcPr>
                  <w:tcW w:w="1426"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BC1D65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3.528</w:t>
                  </w:r>
                </w:p>
              </w:tc>
              <w:tc>
                <w:tcPr>
                  <w:tcW w:w="835"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648B08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0.160</w:t>
                  </w:r>
                </w:p>
              </w:tc>
              <w:tc>
                <w:tcPr>
                  <w:tcW w:w="852"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DA82A1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0.873</w:t>
                  </w:r>
                </w:p>
              </w:tc>
            </w:tr>
            <w:tr w:rsidR="002D1216" w:rsidRPr="002D1216" w14:paraId="5A4F704B"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9A6BB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23D3A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-0.128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77C7F8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0.261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E34EBD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-0.490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F480E0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0.624</w:t>
                  </w:r>
                </w:p>
              </w:tc>
            </w:tr>
            <w:tr w:rsidR="002D1216" w:rsidRPr="002D1216" w14:paraId="27E87CC3"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493E53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8CCF4A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9D3633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0.327</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D91408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-0.166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865E3F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0.868</w:t>
                  </w:r>
                </w:p>
              </w:tc>
            </w:tr>
            <w:tr w:rsidR="002D1216" w:rsidRPr="002D1216" w14:paraId="59660D1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D07177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41CD74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0.237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17C63F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0.206</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C14B18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1.149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0EB995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0.251</w:t>
                  </w:r>
                </w:p>
              </w:tc>
            </w:tr>
            <w:tr w:rsidR="002D1216" w:rsidRPr="002D1216" w14:paraId="0B0A37F0"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B10586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D1C8B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-0.238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B0FB34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0.240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45CF21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-0.992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BF897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0.321</w:t>
                  </w:r>
                </w:p>
              </w:tc>
            </w:tr>
            <w:tr w:rsidR="002D1216" w:rsidRPr="002D1216" w14:paraId="0FF6BE8E"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210963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160171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0.664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E61EBE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0.344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DA2BE3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1.929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768865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0.054</w:t>
                  </w:r>
                </w:p>
              </w:tc>
            </w:tr>
            <w:tr w:rsidR="002D1216" w:rsidRPr="002D1216" w14:paraId="44A68D25"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F9063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lastRenderedPageBreak/>
                    <w:t>CTQ Minimization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770EB8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0.853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09BCE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0.839</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AA05F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1.016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56B68F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0.310</w:t>
                  </w:r>
                </w:p>
              </w:tc>
            </w:tr>
            <w:tr w:rsidR="002D1216" w:rsidRPr="002D1216" w14:paraId="6710011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4818DD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92C7E2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0.130</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AF0655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0.069</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36CF69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1.884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63D41B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0.060</w:t>
                  </w:r>
                </w:p>
              </w:tc>
            </w:tr>
            <w:tr w:rsidR="002D1216" w:rsidRPr="002D1216" w14:paraId="0106F88F"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06E53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F942D3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-0.353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98A1A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0.185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47D6BD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-1.912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9FD6F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0.056</w:t>
                  </w:r>
                </w:p>
              </w:tc>
            </w:tr>
            <w:tr w:rsidR="002D1216" w:rsidRPr="002D1216" w14:paraId="485DD94A"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7A413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424CED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-3.067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1F2C9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1.371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DFE25F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-2.237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A03A1A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0.025</w:t>
                  </w:r>
                </w:p>
              </w:tc>
            </w:tr>
            <w:tr w:rsidR="002D1216" w:rsidRPr="002D1216" w14:paraId="0916054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365C04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Age At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18D455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3A92E1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0.045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C5AC16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-0.742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0BACB4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0.458</w:t>
                  </w:r>
                </w:p>
              </w:tc>
            </w:tr>
            <w:tr w:rsidR="002D1216" w:rsidRPr="002D1216" w14:paraId="7EB81CC0"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CD45A4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997445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B24D1A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E8C876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1.177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033650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0.239</w:t>
                  </w:r>
                </w:p>
              </w:tc>
            </w:tr>
            <w:tr w:rsidR="002D1216" w:rsidRPr="002D1216" w14:paraId="018F37FE"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833F62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76E82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w:t>
                  </w:r>
                  <w:bookmarkStart w:id="137" w:name="_Hlk167900636"/>
                  <w:r w:rsidRPr="002D1216">
                    <w:rPr>
                      <w:rFonts w:ascii="Cambria" w:eastAsia="Calibri" w:hAnsi="Cambria" w:cs="Calibri"/>
                      <w:bCs/>
                      <w:color w:val="000000"/>
                      <w:sz w:val="24"/>
                      <w:szCs w:val="24"/>
                    </w:rPr>
                    <w:t>0.00007</w:t>
                  </w:r>
                  <w:bookmarkEnd w:id="137"/>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8B4B34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74E6A8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-2.162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65AB99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0.031</w:t>
                  </w:r>
                </w:p>
              </w:tc>
            </w:tr>
            <w:tr w:rsidR="002D1216" w:rsidRPr="002D1216" w14:paraId="695668CF" w14:textId="77777777" w:rsidTr="00FE3472">
              <w:trPr>
                <w:trHeight w:val="300"/>
              </w:trPr>
              <w:tc>
                <w:tcPr>
                  <w:tcW w:w="3852" w:type="dxa"/>
                  <w:tcBorders>
                    <w:top w:val="none" w:sz="0" w:space="0" w:color="000000" w:themeColor="text1"/>
                    <w:left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63C61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Highest Education</w:t>
                  </w:r>
                </w:p>
              </w:tc>
              <w:tc>
                <w:tcPr>
                  <w:tcW w:w="1607" w:type="dxa"/>
                  <w:tcBorders>
                    <w:top w:val="none" w:sz="0" w:space="0" w:color="000000" w:themeColor="text1"/>
                    <w:left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4B350C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-0.680</w:t>
                  </w:r>
                </w:p>
              </w:tc>
              <w:tc>
                <w:tcPr>
                  <w:tcW w:w="1426" w:type="dxa"/>
                  <w:tcBorders>
                    <w:top w:val="none" w:sz="0" w:space="0" w:color="000000" w:themeColor="text1"/>
                    <w:left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2DA67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0.243</w:t>
                  </w:r>
                </w:p>
              </w:tc>
              <w:tc>
                <w:tcPr>
                  <w:tcW w:w="835" w:type="dxa"/>
                  <w:tcBorders>
                    <w:top w:val="none" w:sz="0" w:space="0" w:color="000000" w:themeColor="text1"/>
                    <w:left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857554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-2.799</w:t>
                  </w:r>
                </w:p>
              </w:tc>
              <w:tc>
                <w:tcPr>
                  <w:tcW w:w="852" w:type="dxa"/>
                  <w:tcBorders>
                    <w:top w:val="none" w:sz="0" w:space="0" w:color="000000" w:themeColor="text1"/>
                    <w:left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9706EC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0.005</w:t>
                  </w:r>
                </w:p>
              </w:tc>
            </w:tr>
            <w:tr w:rsidR="002D1216" w:rsidRPr="002D1216" w14:paraId="7078CD37" w14:textId="77777777" w:rsidTr="00FE3472">
              <w:trPr>
                <w:trHeight w:val="300"/>
              </w:trPr>
              <w:tc>
                <w:tcPr>
                  <w:tcW w:w="3852" w:type="dxa"/>
                  <w:shd w:val="clear" w:color="auto" w:fill="FFFFFF" w:themeFill="background1"/>
                  <w:tcMar>
                    <w:top w:w="0" w:type="dxa"/>
                    <w:left w:w="0" w:type="dxa"/>
                    <w:bottom w:w="0" w:type="dxa"/>
                    <w:right w:w="0" w:type="dxa"/>
                  </w:tcMar>
                  <w:vAlign w:val="center"/>
                </w:tcPr>
                <w:p w14:paraId="32FFC71C" w14:textId="77777777" w:rsidR="002D1216" w:rsidRPr="002D1216" w:rsidRDefault="002D1216" w:rsidP="002B0F75">
                  <w:pPr>
                    <w:spacing w:after="0" w:line="360" w:lineRule="auto"/>
                    <w:rPr>
                      <w:rFonts w:ascii="Cambria" w:eastAsia="Calibri" w:hAnsi="Cambria" w:cs="Calibri"/>
                      <w:bCs/>
                      <w:i/>
                      <w:iCs/>
                      <w:color w:val="000000"/>
                      <w:sz w:val="24"/>
                      <w:szCs w:val="24"/>
                    </w:rPr>
                  </w:pPr>
                  <w:r w:rsidRPr="002D1216">
                    <w:rPr>
                      <w:rFonts w:ascii="Cambria" w:eastAsia="Calibri" w:hAnsi="Cambria" w:cs="Calibri"/>
                      <w:bCs/>
                      <w:i/>
                      <w:iCs/>
                      <w:color w:val="000000"/>
                      <w:sz w:val="24"/>
                      <w:szCs w:val="24"/>
                    </w:rPr>
                    <w:t>Interactions</w:t>
                  </w:r>
                </w:p>
              </w:tc>
              <w:tc>
                <w:tcPr>
                  <w:tcW w:w="1607" w:type="dxa"/>
                  <w:shd w:val="clear" w:color="auto" w:fill="FFFFFF" w:themeFill="background1"/>
                  <w:tcMar>
                    <w:top w:w="0" w:type="dxa"/>
                    <w:left w:w="0" w:type="dxa"/>
                    <w:bottom w:w="0" w:type="dxa"/>
                    <w:right w:w="0" w:type="dxa"/>
                  </w:tcMar>
                  <w:vAlign w:val="center"/>
                </w:tcPr>
                <w:p w14:paraId="198644F5" w14:textId="77777777" w:rsidR="002D1216" w:rsidRPr="002D1216" w:rsidRDefault="002D1216" w:rsidP="002B0F75">
                  <w:pPr>
                    <w:spacing w:after="0" w:line="360" w:lineRule="auto"/>
                    <w:rPr>
                      <w:rFonts w:ascii="Cambria" w:eastAsia="Calibri" w:hAnsi="Cambria" w:cs="Calibri"/>
                      <w:bCs/>
                      <w:color w:val="000000"/>
                      <w:sz w:val="24"/>
                      <w:szCs w:val="24"/>
                    </w:rPr>
                  </w:pPr>
                </w:p>
              </w:tc>
              <w:tc>
                <w:tcPr>
                  <w:tcW w:w="1426" w:type="dxa"/>
                  <w:shd w:val="clear" w:color="auto" w:fill="FFFFFF" w:themeFill="background1"/>
                  <w:tcMar>
                    <w:top w:w="0" w:type="dxa"/>
                    <w:left w:w="0" w:type="dxa"/>
                    <w:bottom w:w="0" w:type="dxa"/>
                    <w:right w:w="0" w:type="dxa"/>
                  </w:tcMar>
                  <w:vAlign w:val="center"/>
                </w:tcPr>
                <w:p w14:paraId="4F101EEE" w14:textId="77777777" w:rsidR="002D1216" w:rsidRPr="002D1216" w:rsidRDefault="002D1216" w:rsidP="002B0F75">
                  <w:pPr>
                    <w:spacing w:after="0" w:line="360" w:lineRule="auto"/>
                    <w:rPr>
                      <w:rFonts w:ascii="Cambria" w:eastAsia="Calibri" w:hAnsi="Cambria" w:cs="Calibri"/>
                      <w:bCs/>
                      <w:color w:val="000000"/>
                      <w:sz w:val="24"/>
                      <w:szCs w:val="24"/>
                    </w:rPr>
                  </w:pPr>
                </w:p>
              </w:tc>
              <w:tc>
                <w:tcPr>
                  <w:tcW w:w="835" w:type="dxa"/>
                  <w:shd w:val="clear" w:color="auto" w:fill="FFFFFF" w:themeFill="background1"/>
                  <w:tcMar>
                    <w:top w:w="0" w:type="dxa"/>
                    <w:left w:w="0" w:type="dxa"/>
                    <w:bottom w:w="0" w:type="dxa"/>
                    <w:right w:w="0" w:type="dxa"/>
                  </w:tcMar>
                  <w:vAlign w:val="center"/>
                </w:tcPr>
                <w:p w14:paraId="387F6595" w14:textId="77777777" w:rsidR="002D1216" w:rsidRPr="002D1216" w:rsidRDefault="002D1216" w:rsidP="002B0F75">
                  <w:pPr>
                    <w:spacing w:after="0" w:line="360" w:lineRule="auto"/>
                    <w:rPr>
                      <w:rFonts w:ascii="Cambria" w:eastAsia="Calibri" w:hAnsi="Cambria" w:cs="Calibri"/>
                      <w:bCs/>
                      <w:color w:val="000000"/>
                      <w:sz w:val="24"/>
                      <w:szCs w:val="24"/>
                    </w:rPr>
                  </w:pPr>
                </w:p>
              </w:tc>
              <w:tc>
                <w:tcPr>
                  <w:tcW w:w="852" w:type="dxa"/>
                  <w:shd w:val="clear" w:color="auto" w:fill="FFFFFF" w:themeFill="background1"/>
                  <w:tcMar>
                    <w:top w:w="0" w:type="dxa"/>
                    <w:left w:w="0" w:type="dxa"/>
                    <w:bottom w:w="0" w:type="dxa"/>
                    <w:right w:w="0" w:type="dxa"/>
                  </w:tcMar>
                  <w:vAlign w:val="center"/>
                </w:tcPr>
                <w:p w14:paraId="0A68C5CC" w14:textId="77777777" w:rsidR="002D1216" w:rsidRPr="002D1216" w:rsidRDefault="002D1216" w:rsidP="002B0F75">
                  <w:pPr>
                    <w:spacing w:after="0" w:line="360" w:lineRule="auto"/>
                    <w:rPr>
                      <w:rFonts w:ascii="Cambria" w:eastAsia="Calibri" w:hAnsi="Cambria" w:cs="Calibri"/>
                      <w:bCs/>
                      <w:color w:val="000000"/>
                      <w:sz w:val="24"/>
                      <w:szCs w:val="24"/>
                    </w:rPr>
                  </w:pPr>
                </w:p>
              </w:tc>
            </w:tr>
            <w:tr w:rsidR="002D1216" w:rsidRPr="002D1216" w14:paraId="4766E11B" w14:textId="77777777" w:rsidTr="00FE3472">
              <w:trPr>
                <w:trHeight w:val="300"/>
              </w:trPr>
              <w:tc>
                <w:tcPr>
                  <w:tcW w:w="3852" w:type="dxa"/>
                  <w:tcBorders>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65BA5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CTQ Physical Abuse</w:t>
                  </w:r>
                </w:p>
              </w:tc>
              <w:tc>
                <w:tcPr>
                  <w:tcW w:w="1607" w:type="dxa"/>
                  <w:tcBorders>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AAA126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0.010</w:t>
                  </w:r>
                </w:p>
              </w:tc>
              <w:tc>
                <w:tcPr>
                  <w:tcW w:w="1426" w:type="dxa"/>
                  <w:tcBorders>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990530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835" w:type="dxa"/>
                  <w:tcBorders>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0CF19E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1.127</w:t>
                  </w:r>
                </w:p>
              </w:tc>
              <w:tc>
                <w:tcPr>
                  <w:tcW w:w="852" w:type="dxa"/>
                  <w:tcBorders>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226AC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0.260</w:t>
                  </w:r>
                </w:p>
              </w:tc>
            </w:tr>
            <w:tr w:rsidR="002D1216" w:rsidRPr="002D1216" w14:paraId="4AB88AC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0D6A4F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CTQ Sexual Abuse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583A7F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0.009</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6CFA1D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7FCF2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1.138</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039F6A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0.255</w:t>
                  </w:r>
                </w:p>
              </w:tc>
            </w:tr>
            <w:tr w:rsidR="002D1216" w:rsidRPr="002D1216" w14:paraId="254D46E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4B10F40" w14:textId="77777777" w:rsidR="002D1216" w:rsidRPr="002D1216" w:rsidRDefault="002D1216" w:rsidP="002B0F75">
                  <w:pPr>
                    <w:spacing w:after="0" w:line="360" w:lineRule="auto"/>
                    <w:rPr>
                      <w:rFonts w:ascii="Cambria" w:eastAsia="Calibri" w:hAnsi="Cambria" w:cs="Calibri"/>
                      <w:bCs/>
                      <w:color w:val="000000"/>
                      <w:sz w:val="24"/>
                      <w:szCs w:val="24"/>
                    </w:rPr>
                  </w:pPr>
                  <w:bookmarkStart w:id="138" w:name="_Hlk164607261"/>
                  <w:r w:rsidRPr="002D1216">
                    <w:rPr>
                      <w:rFonts w:ascii="Cambria" w:eastAsia="Calibri" w:hAnsi="Cambria" w:cs="Calibri"/>
                      <w:bCs/>
                      <w:color w:val="000000"/>
                      <w:sz w:val="24"/>
                      <w:szCs w:val="24"/>
                    </w:rPr>
                    <w:t>CTQ Emotional Abuse * CTQ Emotional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7A2BE0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0.018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960D9B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0.007</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8D7D7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2.365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613811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0.018</w:t>
                  </w:r>
                </w:p>
              </w:tc>
            </w:tr>
            <w:tr w:rsidR="002D1216" w:rsidRPr="002D1216" w14:paraId="2CC7BB13"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A5A7B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CTQ Physical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E20003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B5AEB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FCE07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-2.042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3D5A8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0.041</w:t>
                  </w:r>
                </w:p>
              </w:tc>
            </w:tr>
            <w:bookmarkEnd w:id="138"/>
            <w:tr w:rsidR="002D1216" w:rsidRPr="002D1216" w14:paraId="596862AF"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560984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CTQ Minimization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BF97F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0.021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36B2D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775AC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0.318</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8E1CC5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0.750</w:t>
                  </w:r>
                </w:p>
              </w:tc>
            </w:tr>
            <w:tr w:rsidR="002D1216" w:rsidRPr="002D1216" w14:paraId="08B9DA2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49EBCA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8B826E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BB8B29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7A8732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0.230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562AE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0.818</w:t>
                  </w:r>
                </w:p>
              </w:tc>
            </w:tr>
            <w:tr w:rsidR="002D1216" w:rsidRPr="002D1216" w14:paraId="2FD84897"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CF3075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6EB55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C3048D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671F6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0.737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62D385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0.461</w:t>
                  </w:r>
                </w:p>
              </w:tc>
            </w:tr>
            <w:tr w:rsidR="002D1216" w:rsidRPr="002D1216" w14:paraId="6D86A130"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765858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CC12AA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0.037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98DCD2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049A3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0.564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B9C7D7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0.573</w:t>
                  </w:r>
                </w:p>
              </w:tc>
            </w:tr>
            <w:tr w:rsidR="002D1216" w:rsidRPr="002D1216" w14:paraId="503396CE"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E28F9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CTQ Emotional Abuse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AC90D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D3E60C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D137AC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-0.081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F58E41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0.935</w:t>
                  </w:r>
                </w:p>
              </w:tc>
            </w:tr>
            <w:tr w:rsidR="002D1216" w:rsidRPr="002D1216" w14:paraId="208A6BAD"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2D431C" w14:textId="77777777" w:rsidR="002D1216" w:rsidRPr="002D1216" w:rsidRDefault="002D1216" w:rsidP="002B0F75">
                  <w:pPr>
                    <w:spacing w:after="0" w:line="360" w:lineRule="auto"/>
                    <w:rPr>
                      <w:rFonts w:ascii="Cambria" w:eastAsia="Calibri" w:hAnsi="Cambria" w:cs="Calibri"/>
                      <w:bCs/>
                      <w:color w:val="000000"/>
                      <w:sz w:val="24"/>
                      <w:szCs w:val="24"/>
                    </w:rPr>
                  </w:pPr>
                  <w:bookmarkStart w:id="139" w:name="_Hlk164607293"/>
                  <w:r w:rsidRPr="002D1216">
                    <w:rPr>
                      <w:rFonts w:ascii="Cambria" w:eastAsia="Calibri" w:hAnsi="Cambria" w:cs="Calibri"/>
                      <w:bCs/>
                      <w:color w:val="000000"/>
                      <w:sz w:val="24"/>
                      <w:szCs w:val="24"/>
                    </w:rPr>
                    <w:t>CTQ Emotional Abuse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174870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E6DDD8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7D976B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-1.742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AC14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0.082</w:t>
                  </w:r>
                </w:p>
              </w:tc>
            </w:tr>
            <w:tr w:rsidR="002D1216" w:rsidRPr="002D1216" w14:paraId="53234570"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95198C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lastRenderedPageBreak/>
                    <w:t>CTQ Emotional Abuse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A5FB8D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5436F0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706D4E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2.132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2283B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0.033</w:t>
                  </w:r>
                </w:p>
              </w:tc>
            </w:tr>
            <w:bookmarkEnd w:id="139"/>
            <w:tr w:rsidR="002D1216" w:rsidRPr="002D1216" w14:paraId="3472CC3F"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B2BCA9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Abuse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086BE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-0.015</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1F933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65EB3B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-1.182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204E9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0.237</w:t>
                  </w:r>
                </w:p>
              </w:tc>
            </w:tr>
            <w:tr w:rsidR="002D1216" w:rsidRPr="002D1216" w14:paraId="736BF0BC"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3124FE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CTQ Sexual Abuse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8F06A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005E4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B2CFF6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-0.300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84E6B0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0.765</w:t>
                  </w:r>
                </w:p>
              </w:tc>
            </w:tr>
            <w:tr w:rsidR="002D1216" w:rsidRPr="002D1216" w14:paraId="4CB8D2BE"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EFF4161" w14:textId="77777777" w:rsidR="002D1216" w:rsidRPr="002D1216" w:rsidRDefault="002D1216" w:rsidP="002B0F75">
                  <w:pPr>
                    <w:spacing w:after="0" w:line="360" w:lineRule="auto"/>
                    <w:rPr>
                      <w:rFonts w:ascii="Cambria" w:eastAsia="Calibri" w:hAnsi="Cambria" w:cs="Calibri"/>
                      <w:bCs/>
                      <w:color w:val="000000"/>
                      <w:sz w:val="24"/>
                      <w:szCs w:val="24"/>
                    </w:rPr>
                  </w:pPr>
                  <w:bookmarkStart w:id="140" w:name="_Hlk164607322"/>
                  <w:r w:rsidRPr="002D1216">
                    <w:rPr>
                      <w:rFonts w:ascii="Cambria" w:eastAsia="Calibri" w:hAnsi="Cambria" w:cs="Calibri"/>
                      <w:bCs/>
                      <w:color w:val="000000"/>
                      <w:sz w:val="24"/>
                      <w:szCs w:val="24"/>
                    </w:rPr>
                    <w:t>CTQ Physical Abuse * CTQ Emotional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17BDB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78FD0D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34B0A9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-2.074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0E217D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0.038</w:t>
                  </w:r>
                </w:p>
              </w:tc>
            </w:tr>
            <w:bookmarkEnd w:id="140"/>
            <w:tr w:rsidR="002D1216" w:rsidRPr="002D1216" w14:paraId="2BE961CA"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9799BB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CTQ Physical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9587DE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0.010</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E2AB0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CC841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0.704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9736B5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0.481</w:t>
                  </w:r>
                </w:p>
              </w:tc>
            </w:tr>
            <w:tr w:rsidR="002D1216" w:rsidRPr="002D1216" w14:paraId="0DBFD66E"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35947E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CTQ Minimization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28CB6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F10F24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0.070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82AA9C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-0.148</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7BFA23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0.882</w:t>
                  </w:r>
                </w:p>
              </w:tc>
            </w:tr>
            <w:tr w:rsidR="002D1216" w:rsidRPr="002D1216" w14:paraId="1327E2D1"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91EC8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2C34E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F6B32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5429C5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-1.087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7751EB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0.277</w:t>
                  </w:r>
                </w:p>
              </w:tc>
            </w:tr>
            <w:tr w:rsidR="002D1216" w:rsidRPr="002D1216" w14:paraId="66D7A4CE"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35365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721C8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0.012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BCD24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DC2EA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0.824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BF6D1B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0.410</w:t>
                  </w:r>
                </w:p>
              </w:tc>
            </w:tr>
            <w:tr w:rsidR="002D1216" w:rsidRPr="002D1216" w14:paraId="715D55AD"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9DA586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87FA63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0.053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186A9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0.080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7BEF2B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0.660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7101C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0.509</w:t>
                  </w:r>
                </w:p>
              </w:tc>
            </w:tr>
            <w:tr w:rsidR="002D1216" w:rsidRPr="002D1216" w14:paraId="0796B20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4ACC4C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CTQ Physical Abuse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052A8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83C838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8DFA9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0.872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D3C0C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0.383</w:t>
                  </w:r>
                </w:p>
              </w:tc>
            </w:tr>
            <w:tr w:rsidR="002D1216" w:rsidRPr="002D1216" w14:paraId="71C9C647"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B37E74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B0152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028B09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40B83D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-0.590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8CED4E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0.556</w:t>
                  </w:r>
                </w:p>
              </w:tc>
            </w:tr>
            <w:tr w:rsidR="002D1216" w:rsidRPr="002D1216" w14:paraId="172B9BE1"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C88C6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Abuse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BE1F0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-0.0000005</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4B86B4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1F8CE8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-0.275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117BFF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0.784</w:t>
                  </w:r>
                </w:p>
              </w:tc>
            </w:tr>
            <w:tr w:rsidR="002D1216" w:rsidRPr="002D1216" w14:paraId="0698734A"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F07CEF7" w14:textId="77777777" w:rsidR="002D1216" w:rsidRPr="002D1216" w:rsidRDefault="002D1216" w:rsidP="002B0F75">
                  <w:pPr>
                    <w:spacing w:after="0" w:line="360" w:lineRule="auto"/>
                    <w:rPr>
                      <w:rFonts w:ascii="Cambria" w:eastAsia="Calibri" w:hAnsi="Cambria" w:cs="Calibri"/>
                      <w:bCs/>
                      <w:color w:val="000000"/>
                      <w:sz w:val="24"/>
                      <w:szCs w:val="24"/>
                    </w:rPr>
                  </w:pPr>
                  <w:bookmarkStart w:id="141" w:name="_Hlk164607336"/>
                  <w:r w:rsidRPr="002D1216">
                    <w:rPr>
                      <w:rFonts w:ascii="Cambria" w:eastAsia="Calibri" w:hAnsi="Cambria" w:cs="Calibri"/>
                      <w:bCs/>
                      <w:color w:val="000000"/>
                      <w:sz w:val="24"/>
                      <w:szCs w:val="24"/>
                    </w:rPr>
                    <w:t>CTQ Physical Abuse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99BDDD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0.032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B99F0D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BB97EB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2.075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63EE9B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0.038</w:t>
                  </w:r>
                </w:p>
              </w:tc>
            </w:tr>
            <w:bookmarkEnd w:id="141"/>
            <w:tr w:rsidR="002D1216" w:rsidRPr="002D1216" w14:paraId="736D67EC"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18B89A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CTQ Emotional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12C356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809FF5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96AD8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-0.460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98B634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0.645</w:t>
                  </w:r>
                </w:p>
              </w:tc>
            </w:tr>
            <w:tr w:rsidR="002D1216" w:rsidRPr="002D1216" w14:paraId="73F69EC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738B8C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CTQ Physical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148CD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D6D08C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F7666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1F832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0.951</w:t>
                  </w:r>
                </w:p>
              </w:tc>
            </w:tr>
            <w:tr w:rsidR="002D1216" w:rsidRPr="002D1216" w14:paraId="256D1941"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735C93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CTQ Minimization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575920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-0.050</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A6F2BB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0.041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5EC24C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-1.211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F4AD8D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0.226</w:t>
                  </w:r>
                </w:p>
              </w:tc>
            </w:tr>
            <w:tr w:rsidR="002D1216" w:rsidRPr="002D1216" w14:paraId="04D17B7C"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6E9D2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lastRenderedPageBreak/>
                    <w:t>CTQ Sexual Abuse * 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F904A3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D7B364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ADD508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-1.260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766262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0.208</w:t>
                  </w:r>
                </w:p>
              </w:tc>
            </w:tr>
            <w:tr w:rsidR="002D1216" w:rsidRPr="002D1216" w14:paraId="14974F7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37B001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0BE529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073FA9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0.006</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62785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-0.589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8AF352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0.556</w:t>
                  </w:r>
                </w:p>
              </w:tc>
            </w:tr>
            <w:tr w:rsidR="002D1216" w:rsidRPr="002D1216" w14:paraId="761581E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BD085D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9AA408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0.037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37A24D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E4A6A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0.602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1DAE87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0.547</w:t>
                  </w:r>
                </w:p>
              </w:tc>
            </w:tr>
            <w:tr w:rsidR="002D1216" w:rsidRPr="002D1216" w14:paraId="39585283"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225AF9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CTQ Sexual Abuse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CD4B7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D5868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A97932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-0.687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3F6424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0.492</w:t>
                  </w:r>
                </w:p>
              </w:tc>
            </w:tr>
            <w:tr w:rsidR="002D1216" w:rsidRPr="002D1216" w14:paraId="60D4FAD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C624D7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241F0C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6BF888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0.0000007</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CE60C7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-0.963</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07843F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0.335</w:t>
                  </w:r>
                </w:p>
              </w:tc>
            </w:tr>
            <w:tr w:rsidR="002D1216" w:rsidRPr="002D1216" w14:paraId="5B96E33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A7808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FA183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67F4AF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C6C024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0.941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69F629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0.347</w:t>
                  </w:r>
                </w:p>
              </w:tc>
            </w:tr>
            <w:tr w:rsidR="002D1216" w:rsidRPr="002D1216" w14:paraId="7A909A37"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696DDF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Sexual Abuse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4CF112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6D28BC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649B72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-0.806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504F75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0.420</w:t>
                  </w:r>
                </w:p>
              </w:tc>
            </w:tr>
            <w:tr w:rsidR="002D1216" w:rsidRPr="002D1216" w14:paraId="60202051"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8792E3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CTQ Physical Neglect</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BEF902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0.010</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07B337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173292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1.059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9FDFEA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0.289</w:t>
                  </w:r>
                </w:p>
              </w:tc>
            </w:tr>
            <w:tr w:rsidR="002D1216" w:rsidRPr="002D1216" w14:paraId="2D0DEA9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B84B73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CTQ Minimization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D749EA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0.082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DF6596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0.044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ED1D41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1.860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C224E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0.063</w:t>
                  </w:r>
                </w:p>
              </w:tc>
            </w:tr>
            <w:tr w:rsidR="002D1216" w:rsidRPr="002D1216" w14:paraId="5A822BD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9ED595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188C76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755A23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B3DDB7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1.249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1883B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0.212</w:t>
                  </w:r>
                </w:p>
              </w:tc>
            </w:tr>
            <w:tr w:rsidR="002D1216" w:rsidRPr="002D1216" w14:paraId="36E0E720"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ED8DCE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0A059A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9CF2B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17A75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-0.282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87BF7D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0.778</w:t>
                  </w:r>
                </w:p>
              </w:tc>
            </w:tr>
            <w:tr w:rsidR="002D1216" w:rsidRPr="002D1216" w14:paraId="567BC1C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D0F8A8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842E11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-0.079</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8C328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1E325C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-1.452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2D149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0.147</w:t>
                  </w:r>
                </w:p>
              </w:tc>
            </w:tr>
            <w:tr w:rsidR="002D1216" w:rsidRPr="002D1216" w14:paraId="4D18866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C55F0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CTQ Emotional Neglect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DBA62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F81DD6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4171A2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0.513</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55305F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0.608</w:t>
                  </w:r>
                </w:p>
              </w:tc>
            </w:tr>
            <w:tr w:rsidR="002D1216" w:rsidRPr="002D1216" w14:paraId="177D419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0E92E08" w14:textId="77777777" w:rsidR="002D1216" w:rsidRPr="002D1216" w:rsidRDefault="002D1216" w:rsidP="002B0F75">
                  <w:pPr>
                    <w:spacing w:after="0" w:line="360" w:lineRule="auto"/>
                    <w:rPr>
                      <w:rFonts w:ascii="Cambria" w:eastAsia="Calibri" w:hAnsi="Cambria" w:cs="Calibri"/>
                      <w:bCs/>
                      <w:color w:val="000000"/>
                      <w:sz w:val="24"/>
                      <w:szCs w:val="24"/>
                    </w:rPr>
                  </w:pPr>
                  <w:bookmarkStart w:id="142" w:name="_Hlk164607361"/>
                  <w:r w:rsidRPr="002D1216">
                    <w:rPr>
                      <w:rFonts w:ascii="Cambria" w:eastAsia="Calibri" w:hAnsi="Cambria" w:cs="Calibri"/>
                      <w:bCs/>
                      <w:color w:val="000000"/>
                      <w:sz w:val="24"/>
                      <w:szCs w:val="24"/>
                    </w:rPr>
                    <w:t>CTQ Emotional Neglect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C97B21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98C7C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0.0000008</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34A41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2.570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088B46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r>
            <w:tr w:rsidR="002D1216" w:rsidRPr="002D1216" w14:paraId="0378F0C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B49E87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D68F65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EBE36A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42709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-2.461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9E724B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0.014</w:t>
                  </w:r>
                </w:p>
              </w:tc>
            </w:tr>
            <w:bookmarkEnd w:id="142"/>
            <w:tr w:rsidR="002D1216" w:rsidRPr="002D1216" w14:paraId="7B53B067"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1B9C9C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Emotional Neglect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F7E95B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642265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C6569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0.003</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DF4970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0.998</w:t>
                  </w:r>
                </w:p>
              </w:tc>
            </w:tr>
            <w:tr w:rsidR="002D1216" w:rsidRPr="002D1216" w14:paraId="11C70B2F"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A358B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lastRenderedPageBreak/>
                    <w:t>CTQ Physical Neglect * CTQ Minimization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98FB46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908D5A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0.070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2F8E8F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-0.341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0D42C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0.733</w:t>
                  </w:r>
                </w:p>
              </w:tc>
            </w:tr>
            <w:tr w:rsidR="002D1216" w:rsidRPr="002D1216" w14:paraId="4357A24C"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C04C37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 * 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DCBB1A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A6C26F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1ED75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-1.764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4393FF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0.078</w:t>
                  </w:r>
                </w:p>
              </w:tc>
            </w:tr>
            <w:tr w:rsidR="002D1216" w:rsidRPr="002D1216" w14:paraId="32F63841"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FA26F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EB56DA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0.020</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3D7C8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EDF62D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1.665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ADEDDF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0.096</w:t>
                  </w:r>
                </w:p>
              </w:tc>
            </w:tr>
            <w:tr w:rsidR="002D1216" w:rsidRPr="002D1216" w14:paraId="7E2E90F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D8E23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D6A3DB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FCDFC4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0.081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C5514F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-0.172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712901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0.863</w:t>
                  </w:r>
                </w:p>
              </w:tc>
            </w:tr>
            <w:tr w:rsidR="002D1216" w:rsidRPr="002D1216" w14:paraId="3D1A51F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B7BCF3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CTQ Physical Neglect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7CA0E8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D9C5A2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3BC02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-1.176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948135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0.240</w:t>
                  </w:r>
                </w:p>
              </w:tc>
            </w:tr>
            <w:tr w:rsidR="002D1216" w:rsidRPr="002D1216" w14:paraId="52D354E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5C7190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2188A3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7A79C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F9EAA6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-1.516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FCD7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0.129</w:t>
                  </w:r>
                </w:p>
              </w:tc>
            </w:tr>
            <w:tr w:rsidR="002D1216" w:rsidRPr="002D1216" w14:paraId="23A3C6AA"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06C344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21F2B6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D1594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59BAA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0.834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F5965D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0.404</w:t>
                  </w:r>
                </w:p>
              </w:tc>
            </w:tr>
            <w:tr w:rsidR="002D1216" w:rsidRPr="002D1216" w14:paraId="571D69D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D0923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Physical Neglect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91910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753F9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E1638D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-0.297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5902D1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0.766</w:t>
                  </w:r>
                </w:p>
              </w:tc>
            </w:tr>
            <w:tr w:rsidR="002D1216" w:rsidRPr="002D1216" w14:paraId="1ED88005"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E71812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Minimization * Trait Anxiety</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752D5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158E02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99B526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0.039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6B5931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0.969</w:t>
                  </w:r>
                </w:p>
              </w:tc>
            </w:tr>
            <w:tr w:rsidR="002D1216" w:rsidRPr="002D1216" w14:paraId="5985CB3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B40F2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Minimization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0B6A5D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A03D13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F7EDF3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-0.748</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146F08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0.454</w:t>
                  </w:r>
                </w:p>
              </w:tc>
            </w:tr>
            <w:tr w:rsidR="002D1216" w:rsidRPr="002D1216" w14:paraId="1CB563D7"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D135C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Minimization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109BDE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-0.121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DC65AC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0.184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D9619D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-0.656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269B79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0.512</w:t>
                  </w:r>
                </w:p>
              </w:tc>
            </w:tr>
            <w:tr w:rsidR="002D1216" w:rsidRPr="002D1216" w14:paraId="3153C3C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5C4013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CTQ Minimization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B6FEAE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F93A23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0.007</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DC3136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-1.560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CB9D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0.119</w:t>
                  </w:r>
                </w:p>
              </w:tc>
            </w:tr>
            <w:tr w:rsidR="002D1216" w:rsidRPr="002D1216" w14:paraId="578E7F20"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58A5F8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Minimization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8801E7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61D229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C46AD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-0.405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842D91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0.686</w:t>
                  </w:r>
                </w:p>
              </w:tc>
            </w:tr>
            <w:tr w:rsidR="002D1216" w:rsidRPr="002D1216" w14:paraId="2A6C580A"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0AFC49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Minimization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14D5A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4544AF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CDD36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-0.797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3319A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0.425</w:t>
                  </w:r>
                </w:p>
              </w:tc>
            </w:tr>
            <w:tr w:rsidR="002D1216" w:rsidRPr="002D1216" w14:paraId="6B6B255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97A43D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CTQ Minimization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89382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3C91C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0.039</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FB1561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-0.079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13F7B5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0.937</w:t>
                  </w:r>
                </w:p>
              </w:tc>
            </w:tr>
            <w:tr w:rsidR="002D1216" w:rsidRPr="002D1216" w14:paraId="04C7C33B"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884AD6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Trait Anxiety * C-Reactive Protein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FC71B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3A3C05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16A64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-0.058</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BF6592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0.954</w:t>
                  </w:r>
                </w:p>
              </w:tc>
            </w:tr>
            <w:tr w:rsidR="002D1216" w:rsidRPr="002D1216" w14:paraId="53E82BA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E99648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Trait Anxiety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DB294C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702EC1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0.019</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627041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0.123</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D5D8B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0.902</w:t>
                  </w:r>
                </w:p>
              </w:tc>
            </w:tr>
            <w:tr w:rsidR="002D1216" w:rsidRPr="002D1216" w14:paraId="57F45F9B"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CDF04C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lastRenderedPageBreak/>
                    <w:t xml:space="preserve">Trait Anxiety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2C703B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E71B0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8051D0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-0.704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36AF6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0.481</w:t>
                  </w:r>
                </w:p>
              </w:tc>
            </w:tr>
            <w:tr w:rsidR="002D1216" w:rsidRPr="002D1216" w14:paraId="3CFAF974"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5049EF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Trait Anxiety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D52510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9FB4C5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8AC746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0.686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FB7D1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0.493</w:t>
                  </w:r>
                </w:p>
              </w:tc>
            </w:tr>
            <w:tr w:rsidR="002D1216" w:rsidRPr="002D1216" w14:paraId="0BCA2347"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40BB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Trait Anxiety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5538D8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1693E4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D87DAA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-0.455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FDCFC5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0.649</w:t>
                  </w:r>
                </w:p>
              </w:tc>
            </w:tr>
            <w:tr w:rsidR="002D1216" w:rsidRPr="002D1216" w14:paraId="69AA982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B803C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Trait Anxiety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75D0D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D9C95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0.004</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A0E8E9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0.219</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B80077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0.827</w:t>
                  </w:r>
                </w:p>
              </w:tc>
            </w:tr>
            <w:tr w:rsidR="002D1216" w:rsidRPr="002D1216" w14:paraId="25EA463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09BCDA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C-Reactive Protein * Gender (Female)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42E914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0.108</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98867C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0.050</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101F0F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2.186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28726D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0.029</w:t>
                  </w:r>
                </w:p>
              </w:tc>
            </w:tr>
            <w:tr w:rsidR="002D1216" w:rsidRPr="002D1216" w14:paraId="5BFD19B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794C8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C-Reactive Protein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1CBA8A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D11501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C3ADBF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0.748</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914BF5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0.455</w:t>
                  </w:r>
                </w:p>
              </w:tc>
            </w:tr>
            <w:tr w:rsidR="002D1216" w:rsidRPr="002D1216" w14:paraId="5AA16D2B"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7D0424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C-Reactive Protein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B8C15A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-0.0000005</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827A2C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0.0000007</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39C707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-0.727</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393DD6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0.467</w:t>
                  </w:r>
                </w:p>
              </w:tc>
            </w:tr>
            <w:tr w:rsidR="002D1216" w:rsidRPr="002D1216" w14:paraId="58796E8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7DE5DFA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C-Reactive Protein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76C25CD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96F92A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85A94B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1.506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7609291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0.132</w:t>
                  </w:r>
                </w:p>
              </w:tc>
            </w:tr>
            <w:tr w:rsidR="002D1216" w:rsidRPr="002D1216" w14:paraId="3284A7C2"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5922CE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C-Reactive Protein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3D1571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0.005</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105BCA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0.009</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4243E1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0.542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D6E10B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0.588</w:t>
                  </w:r>
                </w:p>
              </w:tc>
            </w:tr>
            <w:tr w:rsidR="002D1216" w:rsidRPr="002D1216" w14:paraId="11CAC20F"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6247E71" w14:textId="77777777" w:rsidR="002D1216" w:rsidRPr="002D1216" w:rsidRDefault="002D1216" w:rsidP="002B0F75">
                  <w:pPr>
                    <w:spacing w:after="0" w:line="360" w:lineRule="auto"/>
                    <w:rPr>
                      <w:rFonts w:ascii="Cambria" w:eastAsia="Calibri" w:hAnsi="Cambria" w:cs="Calibri"/>
                      <w:bCs/>
                      <w:color w:val="000000"/>
                      <w:sz w:val="24"/>
                      <w:szCs w:val="24"/>
                    </w:rPr>
                  </w:pPr>
                  <w:bookmarkStart w:id="143" w:name="_Hlk164607417"/>
                  <w:r w:rsidRPr="002D1216">
                    <w:rPr>
                      <w:rFonts w:ascii="Cambria" w:eastAsia="Calibri" w:hAnsi="Cambria" w:cs="Calibri"/>
                      <w:bCs/>
                      <w:color w:val="000000"/>
                      <w:sz w:val="24"/>
                      <w:szCs w:val="24"/>
                    </w:rPr>
                    <w:t xml:space="preserve">Gender (Female) * Age </w:t>
                  </w:r>
                  <w:proofErr w:type="gramStart"/>
                  <w:r w:rsidRPr="002D1216">
                    <w:rPr>
                      <w:rFonts w:ascii="Cambria" w:eastAsia="Calibri" w:hAnsi="Cambria" w:cs="Calibri"/>
                      <w:bCs/>
                      <w:color w:val="000000"/>
                      <w:sz w:val="24"/>
                      <w:szCs w:val="24"/>
                    </w:rPr>
                    <w:t>At</w:t>
                  </w:r>
                  <w:proofErr w:type="gramEnd"/>
                  <w:r w:rsidRPr="002D1216">
                    <w:rPr>
                      <w:rFonts w:ascii="Cambria" w:eastAsia="Calibri" w:hAnsi="Cambria" w:cs="Calibri"/>
                      <w:bCs/>
                      <w:color w:val="000000"/>
                      <w:sz w:val="24"/>
                      <w:szCs w:val="24"/>
                    </w:rPr>
                    <w:t xml:space="preserve"> Interview</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1137B0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0.031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363D4C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7E674D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2.303</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F1E205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0.021</w:t>
                  </w:r>
                </w:p>
              </w:tc>
            </w:tr>
            <w:tr w:rsidR="002D1216" w:rsidRPr="002D1216" w14:paraId="7D842FB9"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A836BE1"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Gender (Female)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ECE539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-0.00001</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C69417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0.000005</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D022165"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-2.314</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5C7D0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0.021</w:t>
                  </w:r>
                </w:p>
              </w:tc>
            </w:tr>
            <w:tr w:rsidR="002D1216" w:rsidRPr="002D1216" w14:paraId="4C0D3D8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327B93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Gender (Female)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5F9CB0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AED8C2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0.000007</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62777A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3.236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325612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0.001</w:t>
                  </w:r>
                </w:p>
              </w:tc>
            </w:tr>
            <w:tr w:rsidR="002D1216" w:rsidRPr="002D1216" w14:paraId="2F26E79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2FE69D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Gender (Female)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53043D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0.133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7A84370"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0.063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D2FE47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2.110</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15CC60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0.035</w:t>
                  </w:r>
                </w:p>
              </w:tc>
            </w:tr>
            <w:bookmarkEnd w:id="143"/>
            <w:tr w:rsidR="002D1216" w:rsidRPr="002D1216" w14:paraId="1D285993"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28F8A4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Age At Interview * Total Household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7B7F03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-0.0000003</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687AA4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5D9C4207"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-1.601</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E9DF76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0.109</w:t>
                  </w:r>
                </w:p>
              </w:tc>
            </w:tr>
            <w:tr w:rsidR="002D1216" w:rsidRPr="002D1216" w14:paraId="6BEE32D6"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0011041" w14:textId="77777777" w:rsidR="002D1216" w:rsidRPr="002D1216" w:rsidRDefault="002D1216" w:rsidP="002B0F75">
                  <w:pPr>
                    <w:spacing w:after="0" w:line="360" w:lineRule="auto"/>
                    <w:rPr>
                      <w:rFonts w:ascii="Cambria" w:eastAsia="Calibri" w:hAnsi="Cambria" w:cs="Calibri"/>
                      <w:bCs/>
                      <w:color w:val="000000"/>
                      <w:sz w:val="24"/>
                      <w:szCs w:val="24"/>
                    </w:rPr>
                  </w:pPr>
                  <w:bookmarkStart w:id="144" w:name="_Hlk164607472"/>
                  <w:r w:rsidRPr="002D1216">
                    <w:rPr>
                      <w:rFonts w:ascii="Cambria" w:eastAsia="Calibri" w:hAnsi="Cambria" w:cs="Calibri"/>
                      <w:bCs/>
                      <w:color w:val="000000"/>
                      <w:sz w:val="24"/>
                      <w:szCs w:val="24"/>
                    </w:rPr>
                    <w:t>Age At Interview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3D95BC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34A232FD"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D8AE40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2.346</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645A013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0.019</w:t>
                  </w:r>
                </w:p>
              </w:tc>
            </w:tr>
            <w:tr w:rsidR="002D1216" w:rsidRPr="002D1216" w14:paraId="00D94733"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2C2125FE"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Age At Interview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EBB4AA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0.007</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422AD5A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0.003</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00537FB4"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2.575</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auto"/>
                  <w:tcMar>
                    <w:top w:w="0" w:type="dxa"/>
                    <w:left w:w="0" w:type="dxa"/>
                    <w:bottom w:w="0" w:type="dxa"/>
                    <w:right w:w="0" w:type="dxa"/>
                  </w:tcMar>
                  <w:vAlign w:val="center"/>
                </w:tcPr>
                <w:p w14:paraId="1E56BE8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0.010</w:t>
                  </w:r>
                </w:p>
              </w:tc>
            </w:tr>
            <w:bookmarkEnd w:id="144"/>
            <w:tr w:rsidR="002D1216" w:rsidRPr="002D1216" w14:paraId="6A05687A"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8D29D3"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Total Household Income * Total Income</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48A434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0.00000000002</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743753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0.00000000002</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1F47139"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0.713</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9A8565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0.476</w:t>
                  </w:r>
                </w:p>
              </w:tc>
            </w:tr>
            <w:tr w:rsidR="002D1216" w:rsidRPr="002D1216" w14:paraId="737A24F8" w14:textId="77777777" w:rsidTr="00FE3472">
              <w:trPr>
                <w:trHeight w:val="300"/>
              </w:trPr>
              <w:tc>
                <w:tcPr>
                  <w:tcW w:w="3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86007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Total Household Income * Highest Education</w:t>
                  </w:r>
                </w:p>
              </w:tc>
              <w:tc>
                <w:tcPr>
                  <w:tcW w:w="1607"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BCD920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0.0000005</w:t>
                  </w:r>
                </w:p>
              </w:tc>
              <w:tc>
                <w:tcPr>
                  <w:tcW w:w="1426"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867EF7C"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0.0000009</w:t>
                  </w:r>
                </w:p>
              </w:tc>
              <w:tc>
                <w:tcPr>
                  <w:tcW w:w="835"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5B32E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0.502</w:t>
                  </w:r>
                </w:p>
              </w:tc>
              <w:tc>
                <w:tcPr>
                  <w:tcW w:w="852"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3BC8D02"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0.615</w:t>
                  </w:r>
                </w:p>
              </w:tc>
            </w:tr>
            <w:tr w:rsidR="002D1216" w:rsidRPr="002D1216" w14:paraId="195E349F" w14:textId="77777777" w:rsidTr="00FE3472">
              <w:trPr>
                <w:trHeight w:val="300"/>
              </w:trPr>
              <w:tc>
                <w:tcPr>
                  <w:tcW w:w="3852"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2FE9347B"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lastRenderedPageBreak/>
                    <w:t>Total Income * Highest Education</w:t>
                  </w:r>
                </w:p>
              </w:tc>
              <w:tc>
                <w:tcPr>
                  <w:tcW w:w="1607"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208F2C3A"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0.000002</w:t>
                  </w:r>
                </w:p>
              </w:tc>
              <w:tc>
                <w:tcPr>
                  <w:tcW w:w="1426"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2FA062DF"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0.000001</w:t>
                  </w:r>
                </w:p>
              </w:tc>
              <w:tc>
                <w:tcPr>
                  <w:tcW w:w="835"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36FDC886"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 xml:space="preserve"> 1.120</w:t>
                  </w:r>
                </w:p>
              </w:tc>
              <w:tc>
                <w:tcPr>
                  <w:tcW w:w="852"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41028968" w14:textId="77777777" w:rsidR="002D1216" w:rsidRPr="002D1216" w:rsidRDefault="002D1216" w:rsidP="002B0F75">
                  <w:pPr>
                    <w:spacing w:after="0" w:line="360" w:lineRule="auto"/>
                    <w:rPr>
                      <w:rFonts w:ascii="Cambria" w:eastAsia="Calibri" w:hAnsi="Cambria" w:cs="Calibri"/>
                      <w:bCs/>
                      <w:color w:val="000000"/>
                      <w:sz w:val="24"/>
                      <w:szCs w:val="24"/>
                    </w:rPr>
                  </w:pPr>
                  <w:r w:rsidRPr="002D1216">
                    <w:rPr>
                      <w:rFonts w:ascii="Cambria" w:eastAsia="Calibri" w:hAnsi="Cambria" w:cs="Calibri"/>
                      <w:bCs/>
                      <w:color w:val="000000"/>
                      <w:sz w:val="24"/>
                      <w:szCs w:val="24"/>
                    </w:rPr>
                    <w:t>0.263</w:t>
                  </w:r>
                </w:p>
              </w:tc>
            </w:tr>
          </w:tbl>
          <w:p w14:paraId="4E15896F" w14:textId="77777777" w:rsidR="002D1216" w:rsidRPr="002D1216" w:rsidRDefault="002D1216" w:rsidP="002B0F75">
            <w:pPr>
              <w:spacing w:line="360" w:lineRule="auto"/>
              <w:rPr>
                <w:rFonts w:ascii="Cambria" w:eastAsia="Calibri" w:hAnsi="Cambria" w:cs="Calibri"/>
                <w:b w:val="0"/>
                <w:color w:val="000000"/>
                <w:sz w:val="24"/>
                <w:szCs w:val="24"/>
              </w:rPr>
            </w:pPr>
            <w:r w:rsidRPr="002D1216">
              <w:rPr>
                <w:rFonts w:ascii="Cambria" w:eastAsia="Calibri" w:hAnsi="Cambria" w:cs="Calibri"/>
                <w:b w:val="0"/>
                <w:color w:val="000000"/>
                <w:sz w:val="24"/>
                <w:szCs w:val="24"/>
              </w:rPr>
              <w:t>NOTES: Dependent variable: Probability of having chronic pain. N = 1173.  (Dispersion parameter for binomial family taken to be 1). ‘Logit function ranging between 0 and 1.</w:t>
            </w:r>
          </w:p>
          <w:p w14:paraId="2B4640B7" w14:textId="77777777" w:rsidR="002D1216" w:rsidRPr="002D1216" w:rsidRDefault="002D1216" w:rsidP="002B0F75">
            <w:pPr>
              <w:spacing w:line="360" w:lineRule="auto"/>
              <w:rPr>
                <w:rFonts w:ascii="Cambria" w:eastAsia="Calibri" w:hAnsi="Cambria" w:cs="Calibri"/>
                <w:b w:val="0"/>
                <w:color w:val="000000"/>
                <w:sz w:val="24"/>
                <w:szCs w:val="24"/>
              </w:rPr>
            </w:pPr>
          </w:p>
          <w:p w14:paraId="412D7AB5" w14:textId="77777777" w:rsidR="002D1216" w:rsidRPr="002D1216" w:rsidRDefault="002D1216" w:rsidP="002B0F75">
            <w:pPr>
              <w:spacing w:line="360" w:lineRule="auto"/>
              <w:rPr>
                <w:rFonts w:ascii="Cambria" w:eastAsia="Calibri" w:hAnsi="Cambria" w:cs="Calibri"/>
                <w:b w:val="0"/>
                <w:color w:val="000000"/>
                <w:sz w:val="24"/>
                <w:szCs w:val="24"/>
              </w:rPr>
            </w:pPr>
            <w:r w:rsidRPr="002D1216">
              <w:rPr>
                <w:rFonts w:ascii="Cambria" w:eastAsia="Calibri" w:hAnsi="Cambria" w:cs="Calibri"/>
                <w:b w:val="0"/>
                <w:color w:val="000000"/>
                <w:sz w:val="24"/>
                <w:szCs w:val="24"/>
              </w:rPr>
              <w:t>Many significant interactions predicting chronic pain were also found. For instance, CRP levels showed a significant interaction with female gender in determining chronic pain presence. Moreover, there were various interactions between different types of CAs determining the presence of chronic pain, such as emotional abuse and emotional neglect, emotional abuse and physical neglect, and physical abuse and emotional neglect. The partial regression plots (</w:t>
            </w:r>
            <w:r w:rsidRPr="002D1216">
              <w:rPr>
                <w:rFonts w:ascii="Cambria" w:eastAsia="Calibri" w:hAnsi="Cambria" w:cs="Calibri"/>
                <w:bCs w:val="0"/>
                <w:color w:val="000000"/>
                <w:sz w:val="24"/>
                <w:szCs w:val="24"/>
              </w:rPr>
              <w:t>Figure 5</w:t>
            </w:r>
            <w:r w:rsidRPr="002D1216">
              <w:rPr>
                <w:rFonts w:ascii="Cambria" w:eastAsia="Calibri" w:hAnsi="Cambria" w:cs="Calibri"/>
                <w:b w:val="0"/>
                <w:color w:val="000000"/>
                <w:sz w:val="24"/>
                <w:szCs w:val="24"/>
              </w:rPr>
              <w:t xml:space="preserve">) indicate how these significant interactions (from </w:t>
            </w:r>
            <w:r w:rsidRPr="002D1216">
              <w:rPr>
                <w:rFonts w:ascii="Cambria" w:eastAsia="Calibri" w:hAnsi="Cambria" w:cs="Calibri"/>
                <w:bCs w:val="0"/>
                <w:color w:val="000000"/>
                <w:sz w:val="24"/>
                <w:szCs w:val="24"/>
              </w:rPr>
              <w:t>Table 3</w:t>
            </w:r>
            <w:r w:rsidRPr="002D1216">
              <w:rPr>
                <w:rFonts w:ascii="Cambria" w:eastAsia="Calibri" w:hAnsi="Cambria" w:cs="Calibri"/>
                <w:b w:val="0"/>
                <w:color w:val="000000"/>
                <w:sz w:val="24"/>
                <w:szCs w:val="24"/>
              </w:rPr>
              <w:t xml:space="preserve">) influence likelihood of chronic pain presence. The impact of emotional abuse depended on levels of emotional and physical neglect and income. At </w:t>
            </w:r>
            <w:bookmarkStart w:id="145" w:name="_Hlk139099294"/>
            <w:r w:rsidRPr="002D1216">
              <w:rPr>
                <w:rFonts w:ascii="Cambria" w:eastAsia="Calibri" w:hAnsi="Cambria" w:cs="Calibri"/>
                <w:b w:val="0"/>
                <w:color w:val="000000"/>
                <w:sz w:val="24"/>
                <w:szCs w:val="24"/>
              </w:rPr>
              <w:t>higher frequency of emotional neglect</w:t>
            </w:r>
            <w:bookmarkEnd w:id="145"/>
            <w:r w:rsidRPr="002D1216">
              <w:rPr>
                <w:rFonts w:ascii="Cambria" w:eastAsia="Calibri" w:hAnsi="Cambria" w:cs="Calibri"/>
                <w:b w:val="0"/>
                <w:color w:val="000000"/>
                <w:sz w:val="24"/>
                <w:szCs w:val="24"/>
              </w:rPr>
              <w:t xml:space="preserve">, </w:t>
            </w:r>
            <w:bookmarkStart w:id="146" w:name="_Hlk139099236"/>
            <w:r w:rsidRPr="002D1216">
              <w:rPr>
                <w:rFonts w:ascii="Cambria" w:eastAsia="Calibri" w:hAnsi="Cambria" w:cs="Calibri"/>
                <w:b w:val="0"/>
                <w:color w:val="000000"/>
                <w:sz w:val="24"/>
                <w:szCs w:val="24"/>
              </w:rPr>
              <w:t>increasing rates of emotional abuse increased the likelihood of chronic pain, whereas with lower levels of emotional neglect, increasing emotional abuse decreased the likelihood of chronic pain</w:t>
            </w:r>
            <w:bookmarkEnd w:id="146"/>
            <w:r w:rsidRPr="002D1216">
              <w:rPr>
                <w:rFonts w:ascii="Cambria" w:eastAsia="Calibri" w:hAnsi="Cambria" w:cs="Calibri"/>
                <w:b w:val="0"/>
                <w:color w:val="000000"/>
                <w:sz w:val="24"/>
                <w:szCs w:val="24"/>
              </w:rPr>
              <w:t xml:space="preserve"> (</w:t>
            </w:r>
            <w:r w:rsidRPr="002D1216">
              <w:rPr>
                <w:rFonts w:ascii="Cambria" w:eastAsia="Calibri" w:hAnsi="Cambria" w:cs="Calibri"/>
                <w:bCs w:val="0"/>
                <w:color w:val="000000"/>
                <w:sz w:val="24"/>
                <w:szCs w:val="24"/>
              </w:rPr>
              <w:t>Figure 5A</w:t>
            </w:r>
            <w:r w:rsidRPr="002D1216">
              <w:rPr>
                <w:rFonts w:ascii="Cambria" w:eastAsia="Calibri" w:hAnsi="Cambria" w:cs="Calibri"/>
                <w:b w:val="0"/>
                <w:color w:val="000000"/>
                <w:sz w:val="24"/>
                <w:szCs w:val="24"/>
              </w:rPr>
              <w:t>). For increasing levels of physical neglect, increasing levels of emotional abuse decreased the likelihood of chronic pain but at lower levels of physical neglect, increasing emotional abuse had little impact on the risk of chronic pain (</w:t>
            </w:r>
            <w:r w:rsidRPr="002D1216">
              <w:rPr>
                <w:rFonts w:ascii="Cambria" w:eastAsia="Calibri" w:hAnsi="Cambria" w:cs="Calibri"/>
                <w:bCs w:val="0"/>
                <w:color w:val="000000"/>
                <w:sz w:val="24"/>
                <w:szCs w:val="24"/>
              </w:rPr>
              <w:t>Figure 5B</w:t>
            </w:r>
            <w:r w:rsidRPr="002D1216">
              <w:rPr>
                <w:rFonts w:ascii="Cambria" w:eastAsia="Calibri" w:hAnsi="Cambria" w:cs="Calibri"/>
                <w:b w:val="0"/>
                <w:color w:val="000000"/>
                <w:sz w:val="24"/>
                <w:szCs w:val="24"/>
              </w:rPr>
              <w:t>). Lastly, for high levels of annual income, increasing levels of emotional abuse were related to increased chronic pain likelihood (</w:t>
            </w:r>
            <w:r w:rsidRPr="002D1216">
              <w:rPr>
                <w:rFonts w:ascii="Cambria" w:eastAsia="Calibri" w:hAnsi="Cambria" w:cs="Calibri"/>
                <w:bCs w:val="0"/>
                <w:color w:val="000000"/>
                <w:sz w:val="24"/>
                <w:szCs w:val="24"/>
              </w:rPr>
              <w:t>Figure 5C</w:t>
            </w:r>
            <w:r w:rsidRPr="002D1216">
              <w:rPr>
                <w:rFonts w:ascii="Cambria" w:eastAsia="Calibri" w:hAnsi="Cambria" w:cs="Calibri"/>
                <w:b w:val="0"/>
                <w:color w:val="000000"/>
                <w:sz w:val="24"/>
                <w:szCs w:val="24"/>
              </w:rPr>
              <w:t>). The interaction between physical abuse and emotional neglect also had a non-linear effect on chronic pain (</w:t>
            </w:r>
            <w:r w:rsidRPr="002D1216">
              <w:rPr>
                <w:rFonts w:ascii="Cambria" w:eastAsia="Calibri" w:hAnsi="Cambria" w:cs="Calibri"/>
                <w:bCs w:val="0"/>
                <w:color w:val="000000"/>
                <w:sz w:val="24"/>
                <w:szCs w:val="24"/>
              </w:rPr>
              <w:t>Figure 5D</w:t>
            </w:r>
            <w:r w:rsidRPr="002D1216">
              <w:rPr>
                <w:rFonts w:ascii="Cambria" w:eastAsia="Calibri" w:hAnsi="Cambria" w:cs="Calibri"/>
                <w:b w:val="0"/>
                <w:color w:val="000000"/>
                <w:sz w:val="24"/>
                <w:szCs w:val="24"/>
              </w:rPr>
              <w:t>). At low rates of emotional neglect, increasing levels of physical abuse increased the likelihood of chronic pain, but at higher frequency of emotional neglect, the opposite is observed: with increasing levels of physical abuse the likelihood of chronic pain decreased. For the socio-demographic control variable interactions, with increasing levels of education, increased levels of physical abuse were associated with increased likelihood of chronic pain (</w:t>
            </w:r>
            <w:r w:rsidRPr="002D1216">
              <w:rPr>
                <w:rFonts w:ascii="Cambria" w:eastAsia="Calibri" w:hAnsi="Cambria" w:cs="Calibri"/>
                <w:bCs w:val="0"/>
                <w:color w:val="000000"/>
                <w:sz w:val="24"/>
                <w:szCs w:val="24"/>
              </w:rPr>
              <w:t>Figure 5E</w:t>
            </w:r>
            <w:r w:rsidRPr="002D1216">
              <w:rPr>
                <w:rFonts w:ascii="Cambria" w:eastAsia="Calibri" w:hAnsi="Cambria" w:cs="Calibri"/>
                <w:b w:val="0"/>
                <w:color w:val="000000"/>
                <w:sz w:val="24"/>
                <w:szCs w:val="24"/>
              </w:rPr>
              <w:t>), and the opposite occurred for the lowest education levels, with the impact appearing to switch around at middle education level. An interesting contrast appeared when looking at the interactions between emotional neglect and the entire household income (</w:t>
            </w:r>
            <w:r w:rsidRPr="002D1216">
              <w:rPr>
                <w:rFonts w:ascii="Cambria" w:eastAsia="Calibri" w:hAnsi="Cambria" w:cs="Calibri"/>
                <w:bCs w:val="0"/>
                <w:color w:val="000000"/>
                <w:sz w:val="24"/>
                <w:szCs w:val="24"/>
              </w:rPr>
              <w:t>Figure 5F</w:t>
            </w:r>
            <w:r w:rsidRPr="002D1216">
              <w:rPr>
                <w:rFonts w:ascii="Cambria" w:eastAsia="Calibri" w:hAnsi="Cambria" w:cs="Calibri"/>
                <w:b w:val="0"/>
                <w:color w:val="000000"/>
                <w:sz w:val="24"/>
                <w:szCs w:val="24"/>
              </w:rPr>
              <w:t>) compared to only the participant’s total income (</w:t>
            </w:r>
            <w:r w:rsidRPr="002D1216">
              <w:rPr>
                <w:rFonts w:ascii="Cambria" w:eastAsia="Calibri" w:hAnsi="Cambria" w:cs="Calibri"/>
                <w:bCs w:val="0"/>
                <w:color w:val="000000"/>
                <w:sz w:val="24"/>
                <w:szCs w:val="24"/>
              </w:rPr>
              <w:t>Figure 5G</w:t>
            </w:r>
            <w:r w:rsidRPr="002D1216">
              <w:rPr>
                <w:rFonts w:ascii="Cambria" w:eastAsia="Calibri" w:hAnsi="Cambria" w:cs="Calibri"/>
                <w:b w:val="0"/>
                <w:color w:val="000000"/>
                <w:sz w:val="24"/>
                <w:szCs w:val="24"/>
              </w:rPr>
              <w:t xml:space="preserve">). For increasing levels of </w:t>
            </w:r>
            <w:r w:rsidRPr="002D1216">
              <w:rPr>
                <w:rFonts w:ascii="Cambria" w:eastAsia="Calibri" w:hAnsi="Cambria" w:cs="Calibri"/>
                <w:b w:val="0"/>
                <w:color w:val="000000"/>
                <w:sz w:val="24"/>
                <w:szCs w:val="24"/>
              </w:rPr>
              <w:lastRenderedPageBreak/>
              <w:t>household income, an increased rate of emotional neglect was related to more chronic pain incidence. However, for increasing levels of high personal income, high levels of emotional neglect were related to lesser chronic pain incidence. The opposite was found for the lowest level of income, with no impact of emotional neglect found at the second-to-lowest income level ($50,000). Finally, for female participants, increasing CRP increased the likelihood of chronic pain whereas CRP made no difference to chronic pain prediction among males (</w:t>
            </w:r>
            <w:r w:rsidRPr="002D1216">
              <w:rPr>
                <w:rFonts w:ascii="Cambria" w:eastAsia="Calibri" w:hAnsi="Cambria" w:cs="Calibri"/>
                <w:bCs w:val="0"/>
                <w:color w:val="000000"/>
                <w:sz w:val="24"/>
                <w:szCs w:val="24"/>
              </w:rPr>
              <w:t>Figure 5H</w:t>
            </w:r>
            <w:r w:rsidRPr="002D1216">
              <w:rPr>
                <w:rFonts w:ascii="Cambria" w:eastAsia="Calibri" w:hAnsi="Cambria" w:cs="Calibri"/>
                <w:b w:val="0"/>
                <w:color w:val="000000"/>
                <w:sz w:val="24"/>
                <w:szCs w:val="24"/>
              </w:rPr>
              <w:t xml:space="preserve">). </w:t>
            </w:r>
          </w:p>
        </w:tc>
      </w:tr>
    </w:tbl>
    <w:p w14:paraId="2B49703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noProof/>
          <w:color w:val="000000"/>
          <w:sz w:val="24"/>
          <w:szCs w:val="24"/>
        </w:rPr>
        <w:lastRenderedPageBreak/>
        <w:drawing>
          <wp:inline distT="0" distB="0" distL="0" distR="0" wp14:anchorId="15DA2983" wp14:editId="177D393D">
            <wp:extent cx="6089901" cy="6766560"/>
            <wp:effectExtent l="0" t="0" r="6350" b="0"/>
            <wp:docPr id="1751415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15311"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52633" cy="6836262"/>
                    </a:xfrm>
                    <a:prstGeom prst="rect">
                      <a:avLst/>
                    </a:prstGeom>
                  </pic:spPr>
                </pic:pic>
              </a:graphicData>
            </a:graphic>
          </wp:inline>
        </w:drawing>
      </w:r>
    </w:p>
    <w:p w14:paraId="3B625BC6"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Figure 5. Partial regressions of significant interactions on probability of chronic pain presence</w:t>
      </w:r>
    </w:p>
    <w:p w14:paraId="47678F73" w14:textId="77777777" w:rsidR="002D1216" w:rsidRPr="002D1216" w:rsidRDefault="002D1216" w:rsidP="002B0F75">
      <w:pPr>
        <w:spacing w:after="0" w:line="360" w:lineRule="auto"/>
        <w:rPr>
          <w:rFonts w:ascii="Cambria" w:eastAsia="Calibri" w:hAnsi="Cambria" w:cs="Calibri"/>
          <w:color w:val="000000"/>
          <w:sz w:val="24"/>
          <w:szCs w:val="24"/>
        </w:rPr>
      </w:pPr>
      <w:bookmarkStart w:id="147" w:name="_Hlk167132035"/>
      <w:r w:rsidRPr="002D1216">
        <w:rPr>
          <w:rFonts w:ascii="Cambria" w:eastAsia="Calibri" w:hAnsi="Cambria" w:cs="Calibri"/>
          <w:b/>
          <w:bCs/>
          <w:color w:val="000000"/>
          <w:sz w:val="24"/>
          <w:szCs w:val="24"/>
        </w:rPr>
        <w:t>Notes:</w:t>
      </w:r>
      <w:r w:rsidRPr="002D1216">
        <w:rPr>
          <w:rFonts w:ascii="Cambria" w:eastAsia="Calibri" w:hAnsi="Cambria" w:cs="Calibri"/>
          <w:color w:val="000000"/>
          <w:sz w:val="24"/>
          <w:szCs w:val="24"/>
        </w:rPr>
        <w:t xml:space="preserve"> The likelihood of chronic pain presence increases as the y-axis increases to 100%. </w:t>
      </w:r>
      <w:bookmarkEnd w:id="147"/>
      <w:r w:rsidRPr="002D1216">
        <w:rPr>
          <w:rFonts w:ascii="Cambria" w:eastAsia="Calibri" w:hAnsi="Cambria" w:cs="Calibri"/>
          <w:color w:val="000000"/>
          <w:sz w:val="24"/>
          <w:szCs w:val="24"/>
        </w:rPr>
        <w:t xml:space="preserve">Incomes are annual USD ($). </w:t>
      </w:r>
    </w:p>
    <w:p w14:paraId="6AF7046B" w14:textId="77777777" w:rsidR="002D1216" w:rsidRPr="002D1216" w:rsidRDefault="002D1216" w:rsidP="002B0F75">
      <w:pPr>
        <w:spacing w:after="0" w:line="360" w:lineRule="auto"/>
        <w:rPr>
          <w:rFonts w:ascii="Cambria" w:eastAsia="Calibri" w:hAnsi="Cambria" w:cs="Calibri"/>
          <w:color w:val="000000"/>
          <w:sz w:val="24"/>
          <w:szCs w:val="24"/>
        </w:rPr>
      </w:pPr>
    </w:p>
    <w:p w14:paraId="21716E51" w14:textId="77777777" w:rsidR="002D1216" w:rsidRDefault="002D1216" w:rsidP="00861CD3">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To help validate the results, a sensitivity analysis was also conducted in a subset of participants (n=1121) excluding 52 participants with a CRP level ≥ 10, which is sometimes associated with acute infection (</w:t>
      </w:r>
      <w:r w:rsidRPr="002D1216">
        <w:rPr>
          <w:rFonts w:ascii="Cambria" w:eastAsia="Calibri" w:hAnsi="Cambria" w:cs="Calibri"/>
          <w:b/>
          <w:bCs/>
          <w:color w:val="000000"/>
          <w:sz w:val="24"/>
          <w:szCs w:val="24"/>
        </w:rPr>
        <w:t>Supplemental Table S5</w:t>
      </w:r>
      <w:r w:rsidRPr="002D1216">
        <w:rPr>
          <w:rFonts w:ascii="Cambria" w:eastAsia="Calibri" w:hAnsi="Cambria" w:cs="Calibri"/>
          <w:color w:val="000000"/>
          <w:sz w:val="24"/>
          <w:szCs w:val="24"/>
        </w:rPr>
        <w:t>); however, no major differences arose.</w:t>
      </w:r>
    </w:p>
    <w:p w14:paraId="6E91DDD0" w14:textId="77777777" w:rsidR="002B0F75" w:rsidRPr="002D1216" w:rsidRDefault="002B0F75" w:rsidP="002B0F75">
      <w:pPr>
        <w:spacing w:after="0" w:line="360" w:lineRule="auto"/>
        <w:rPr>
          <w:rFonts w:ascii="Cambria" w:eastAsia="Calibri" w:hAnsi="Cambria" w:cs="Calibri"/>
          <w:i/>
          <w:iCs/>
          <w:color w:val="000000"/>
          <w:sz w:val="24"/>
          <w:szCs w:val="24"/>
        </w:rPr>
      </w:pPr>
    </w:p>
    <w:p w14:paraId="17A1CD34" w14:textId="77777777" w:rsidR="002D1216" w:rsidRP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Objective 3</w:t>
      </w:r>
    </w:p>
    <w:p w14:paraId="2B41DF24" w14:textId="77777777" w:rsidR="002B0F75" w:rsidRDefault="002B0F75" w:rsidP="00861CD3">
      <w:pPr>
        <w:spacing w:after="0" w:line="360" w:lineRule="auto"/>
        <w:rPr>
          <w:rFonts w:ascii="Cambria" w:eastAsia="Calibri" w:hAnsi="Cambria" w:cs="Calibri"/>
          <w:i/>
          <w:iCs/>
          <w:color w:val="000000"/>
          <w:sz w:val="24"/>
          <w:szCs w:val="24"/>
        </w:rPr>
      </w:pPr>
    </w:p>
    <w:p w14:paraId="354A0B13" w14:textId="7B9C0392" w:rsidR="002D1216" w:rsidRPr="002D1216" w:rsidRDefault="002D1216" w:rsidP="002B0F75">
      <w:pPr>
        <w:spacing w:after="0" w:line="360" w:lineRule="auto"/>
        <w:rPr>
          <w:rFonts w:ascii="Cambria" w:eastAsia="Calibri" w:hAnsi="Cambria" w:cs="Calibri"/>
          <w:i/>
          <w:iCs/>
          <w:color w:val="000000"/>
          <w:sz w:val="24"/>
          <w:szCs w:val="24"/>
        </w:rPr>
      </w:pPr>
      <w:r w:rsidRPr="002D1216">
        <w:rPr>
          <w:rFonts w:ascii="Cambria" w:eastAsia="Calibri" w:hAnsi="Cambria" w:cs="Calibri"/>
          <w:i/>
          <w:iCs/>
          <w:color w:val="000000"/>
          <w:sz w:val="24"/>
          <w:szCs w:val="24"/>
        </w:rPr>
        <w:t>Exploratory pain medication analysis</w:t>
      </w:r>
    </w:p>
    <w:p w14:paraId="36D9EA6E" w14:textId="77777777" w:rsidR="002B0F75" w:rsidRDefault="002B0F75" w:rsidP="00861CD3">
      <w:pPr>
        <w:spacing w:after="0" w:line="360" w:lineRule="auto"/>
        <w:rPr>
          <w:rFonts w:ascii="Cambria" w:eastAsia="Calibri" w:hAnsi="Cambria" w:cs="Calibri"/>
          <w:color w:val="000000"/>
          <w:sz w:val="24"/>
          <w:szCs w:val="24"/>
        </w:rPr>
      </w:pPr>
    </w:p>
    <w:p w14:paraId="7497A0CE" w14:textId="1751C406" w:rsidR="002D1216" w:rsidRDefault="002D1216" w:rsidP="00861CD3">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regression confusion matrix sensitivity (“true positives”) was 45.8% and specificity (“true negatives”) was 98.5%. For comparison, a model was run with only the significant predictors and pairwise interactions (including corresponding predictors for the significant pairwise interactions), with a sensitivity of 15.3% and specificity of 98.9%. The confusion matrix for both models is presented in </w:t>
      </w:r>
      <w:r w:rsidRPr="002D1216">
        <w:rPr>
          <w:rFonts w:ascii="Cambria" w:eastAsia="Calibri" w:hAnsi="Cambria" w:cs="Calibri"/>
          <w:b/>
          <w:bCs/>
          <w:color w:val="000000"/>
          <w:sz w:val="24"/>
          <w:szCs w:val="24"/>
        </w:rPr>
        <w:t>Supplemental Table S6</w:t>
      </w:r>
      <w:r w:rsidRPr="002D1216">
        <w:rPr>
          <w:rFonts w:ascii="Cambria" w:eastAsia="Calibri" w:hAnsi="Cambria" w:cs="Calibri"/>
          <w:color w:val="000000"/>
          <w:sz w:val="24"/>
          <w:szCs w:val="24"/>
        </w:rPr>
        <w:t xml:space="preserve">. From this, we can infer that </w:t>
      </w:r>
      <w:bookmarkStart w:id="148" w:name="_Hlk137912921"/>
      <w:r w:rsidRPr="002D1216">
        <w:rPr>
          <w:rFonts w:ascii="Cambria" w:eastAsia="Calibri" w:hAnsi="Cambria" w:cs="Calibri"/>
          <w:color w:val="000000"/>
          <w:sz w:val="24"/>
          <w:szCs w:val="24"/>
        </w:rPr>
        <w:t xml:space="preserve">the influence of CAs on long-term medication use for chronic pain is complex. </w:t>
      </w:r>
      <w:bookmarkStart w:id="149" w:name="_Hlk167815174"/>
      <w:bookmarkEnd w:id="148"/>
      <w:r w:rsidRPr="002D1216">
        <w:rPr>
          <w:rFonts w:ascii="Cambria" w:eastAsia="Calibri" w:hAnsi="Cambria" w:cs="Calibri"/>
          <w:color w:val="000000"/>
          <w:sz w:val="24"/>
          <w:szCs w:val="24"/>
        </w:rPr>
        <w:t xml:space="preserve">Selected interactions relevant </w:t>
      </w:r>
      <w:bookmarkEnd w:id="149"/>
      <w:r w:rsidRPr="002D1216">
        <w:rPr>
          <w:rFonts w:ascii="Cambria" w:eastAsia="Calibri" w:hAnsi="Cambria" w:cs="Calibri"/>
          <w:color w:val="000000"/>
          <w:sz w:val="24"/>
          <w:szCs w:val="24"/>
        </w:rPr>
        <w:t xml:space="preserve">to the objectives overall are shown in </w:t>
      </w:r>
      <w:r w:rsidRPr="002D1216">
        <w:rPr>
          <w:rFonts w:ascii="Cambria" w:eastAsia="Calibri" w:hAnsi="Cambria" w:cs="Calibri"/>
          <w:b/>
          <w:bCs/>
          <w:color w:val="000000"/>
          <w:sz w:val="24"/>
          <w:szCs w:val="24"/>
        </w:rPr>
        <w:t xml:space="preserve">Table 4 </w:t>
      </w:r>
      <w:r w:rsidRPr="002D1216">
        <w:rPr>
          <w:rFonts w:ascii="Cambria" w:eastAsia="Calibri" w:hAnsi="Cambria" w:cs="Calibri"/>
          <w:color w:val="000000"/>
          <w:sz w:val="24"/>
          <w:szCs w:val="24"/>
        </w:rPr>
        <w:t>and the eight significant interactions are visualized in</w:t>
      </w:r>
      <w:r w:rsidRPr="002D1216">
        <w:rPr>
          <w:rFonts w:ascii="Cambria" w:eastAsia="Calibri" w:hAnsi="Cambria" w:cs="Calibri"/>
          <w:b/>
          <w:bCs/>
          <w:color w:val="000000"/>
          <w:sz w:val="24"/>
          <w:szCs w:val="24"/>
        </w:rPr>
        <w:t xml:space="preserve"> Figure 6. </w:t>
      </w:r>
      <w:r w:rsidRPr="002D1216">
        <w:rPr>
          <w:rFonts w:ascii="Cambria" w:eastAsia="Calibri" w:hAnsi="Cambria" w:cs="Calibri"/>
          <w:color w:val="000000"/>
          <w:sz w:val="24"/>
          <w:szCs w:val="24"/>
        </w:rPr>
        <w:t xml:space="preserve">The full table of all interactions is in </w:t>
      </w:r>
      <w:r w:rsidRPr="002D1216">
        <w:rPr>
          <w:rFonts w:ascii="Cambria" w:eastAsia="Calibri" w:hAnsi="Cambria" w:cs="Calibri"/>
          <w:b/>
          <w:bCs/>
          <w:color w:val="000000"/>
          <w:sz w:val="24"/>
          <w:szCs w:val="24"/>
        </w:rPr>
        <w:t>Supplemental Table S7</w:t>
      </w:r>
      <w:r w:rsidRPr="002D1216">
        <w:rPr>
          <w:rFonts w:ascii="Cambria" w:eastAsia="Calibri" w:hAnsi="Cambria" w:cs="Calibri"/>
          <w:color w:val="000000"/>
          <w:sz w:val="24"/>
          <w:szCs w:val="24"/>
        </w:rPr>
        <w:t xml:space="preserve">. </w:t>
      </w:r>
    </w:p>
    <w:p w14:paraId="132EA5BC" w14:textId="77777777" w:rsidR="002B0F75" w:rsidRPr="002D1216" w:rsidRDefault="002B0F75" w:rsidP="002B0F75">
      <w:pPr>
        <w:spacing w:after="0" w:line="360" w:lineRule="auto"/>
        <w:rPr>
          <w:rFonts w:ascii="Cambria" w:eastAsia="Calibri" w:hAnsi="Cambria" w:cs="Calibri"/>
          <w:color w:val="000000"/>
          <w:sz w:val="24"/>
          <w:szCs w:val="24"/>
        </w:rPr>
      </w:pPr>
    </w:p>
    <w:p w14:paraId="7800F4EB"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 xml:space="preserve">Table 4: Long term medication </w:t>
      </w:r>
      <w:proofErr w:type="gramStart"/>
      <w:r w:rsidRPr="002D1216">
        <w:rPr>
          <w:rFonts w:ascii="Cambria" w:eastAsia="Calibri" w:hAnsi="Cambria" w:cs="Calibri"/>
          <w:b/>
          <w:bCs/>
          <w:color w:val="000000"/>
          <w:sz w:val="24"/>
          <w:szCs w:val="24"/>
        </w:rPr>
        <w:t>use</w:t>
      </w:r>
      <w:proofErr w:type="gramEnd"/>
      <w:r w:rsidRPr="002D1216">
        <w:rPr>
          <w:rFonts w:ascii="Cambria" w:eastAsia="Calibri" w:hAnsi="Cambria" w:cs="Calibri"/>
          <w:b/>
          <w:bCs/>
          <w:color w:val="000000"/>
          <w:sz w:val="24"/>
          <w:szCs w:val="24"/>
        </w:rPr>
        <w:t xml:space="preserve"> for chronic pain (significant regression coefficients only)</w:t>
      </w:r>
    </w:p>
    <w:tbl>
      <w:tblPr>
        <w:tblW w:w="0" w:type="auto"/>
        <w:tblLook w:val="0420" w:firstRow="1" w:lastRow="0" w:firstColumn="0" w:lastColumn="0" w:noHBand="0" w:noVBand="1"/>
      </w:tblPr>
      <w:tblGrid>
        <w:gridCol w:w="3960"/>
        <w:gridCol w:w="1440"/>
        <w:gridCol w:w="1440"/>
        <w:gridCol w:w="864"/>
        <w:gridCol w:w="864"/>
      </w:tblGrid>
      <w:tr w:rsidR="002D1216" w:rsidRPr="002D1216" w14:paraId="4A0592BD" w14:textId="77777777" w:rsidTr="00FE3472">
        <w:trPr>
          <w:trHeight w:val="300"/>
        </w:trPr>
        <w:tc>
          <w:tcPr>
            <w:tcW w:w="3960"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57C0E5C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Variable</w:t>
            </w:r>
          </w:p>
        </w:tc>
        <w:tc>
          <w:tcPr>
            <w:tcW w:w="1440"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1E3B569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Estimate</w:t>
            </w:r>
          </w:p>
        </w:tc>
        <w:tc>
          <w:tcPr>
            <w:tcW w:w="1440"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65749B4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Std. Error</w:t>
            </w:r>
          </w:p>
        </w:tc>
        <w:tc>
          <w:tcPr>
            <w:tcW w:w="864"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457662F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z-value</w:t>
            </w:r>
          </w:p>
        </w:tc>
        <w:tc>
          <w:tcPr>
            <w:tcW w:w="864" w:type="dxa"/>
            <w:tcBorders>
              <w:top w:val="single" w:sz="12" w:space="0" w:color="666666"/>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69BE711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p-value</w:t>
            </w:r>
          </w:p>
        </w:tc>
      </w:tr>
      <w:tr w:rsidR="002D1216" w:rsidRPr="002D1216" w14:paraId="2C0BD4C1" w14:textId="77777777" w:rsidTr="00FE3472">
        <w:trPr>
          <w:trHeight w:val="300"/>
        </w:trPr>
        <w:tc>
          <w:tcPr>
            <w:tcW w:w="3960"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DB418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(Constant)</w:t>
            </w:r>
          </w:p>
        </w:tc>
        <w:tc>
          <w:tcPr>
            <w:tcW w:w="1440"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06D2B2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-3.236</w:t>
            </w:r>
          </w:p>
        </w:tc>
        <w:tc>
          <w:tcPr>
            <w:tcW w:w="1440"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71DA54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4.231</w:t>
            </w:r>
          </w:p>
        </w:tc>
        <w:tc>
          <w:tcPr>
            <w:tcW w:w="864"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5B59E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-0.765</w:t>
            </w:r>
          </w:p>
        </w:tc>
        <w:tc>
          <w:tcPr>
            <w:tcW w:w="864" w:type="dxa"/>
            <w:tcBorders>
              <w:top w:val="single" w:sz="12" w:space="0" w:color="666666"/>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94F87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0.444</w:t>
            </w:r>
          </w:p>
        </w:tc>
      </w:tr>
      <w:tr w:rsidR="002D1216" w:rsidRPr="002D1216" w14:paraId="430A855C"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CEDB17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Emotional Abuse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5BD719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0.275</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FBBFF3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3A5B1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2.175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BC44150"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0.030</w:t>
            </w:r>
          </w:p>
        </w:tc>
      </w:tr>
      <w:tr w:rsidR="002D1216" w:rsidRPr="002D1216" w14:paraId="06E9EDCC"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5AAF87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Abuse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B0A78C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-0.529</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BC7F65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0.309</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142E44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-1.710</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3BCB0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0.087</w:t>
            </w:r>
          </w:p>
        </w:tc>
      </w:tr>
      <w:tr w:rsidR="002D1216" w:rsidRPr="002D1216" w14:paraId="3BE739B1"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7545B9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A4A775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0.349</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5D1030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0.295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6DBC6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1.184</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E23A6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0.236</w:t>
            </w:r>
          </w:p>
        </w:tc>
      </w:tr>
      <w:tr w:rsidR="002D1216" w:rsidRPr="002D1216" w14:paraId="0F6C92DB"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09CFE9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Emotional Neglect</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DFB5A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-0.186</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E49B15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0.189</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2574B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-0.985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3FB014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0.325</w:t>
            </w:r>
          </w:p>
        </w:tc>
      </w:tr>
      <w:tr w:rsidR="002D1216" w:rsidRPr="002D1216" w14:paraId="1227C1E1"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34A866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Neglect</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D138CD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-0.336</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20DEE8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0.183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B84079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-1.836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324B45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0.066</w:t>
            </w:r>
          </w:p>
        </w:tc>
      </w:tr>
      <w:tr w:rsidR="002D1216" w:rsidRPr="002D1216" w14:paraId="48EEF28B"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A459EC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Minimization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BE8B0B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0.776</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8D09C2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0.689</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0329D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1.126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2699E6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0.260</w:t>
            </w:r>
          </w:p>
        </w:tc>
      </w:tr>
      <w:tr w:rsidR="002D1216" w:rsidRPr="002D1216" w14:paraId="1D9BD065"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DB948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Trait Anxiety</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DD538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0.109</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8D98DF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0.095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D286AF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1.143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9B5F1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0.253</w:t>
            </w:r>
          </w:p>
        </w:tc>
      </w:tr>
      <w:tr w:rsidR="002D1216" w:rsidRPr="002D1216" w14:paraId="4990EC9F"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D9680C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lastRenderedPageBreak/>
              <w:t>C-Reactive Protein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D6DA6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-0.308</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A84D31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0.169</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A406D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-1.815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3A7DB3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0.069</w:t>
            </w:r>
          </w:p>
        </w:tc>
      </w:tr>
      <w:tr w:rsidR="002D1216" w:rsidRPr="002D1216" w14:paraId="7543B2ED"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7D2795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Gender (Female)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085AF7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-4.208</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3A905D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1.461</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51663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-2.880</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BCA26E9"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0.004</w:t>
            </w:r>
          </w:p>
        </w:tc>
      </w:tr>
      <w:tr w:rsidR="002D1216" w:rsidRPr="002D1216" w14:paraId="2596F09B"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13418B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Age At Interview</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6A536F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0.087</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B3A7FB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E417A9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1.537</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091C7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0.124</w:t>
            </w:r>
          </w:p>
        </w:tc>
      </w:tr>
      <w:tr w:rsidR="002D1216" w:rsidRPr="002D1216" w14:paraId="160A491E"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99343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Total Household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273F30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0.00004</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53F020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D3C852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2.025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5CD0A20"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0.043</w:t>
            </w:r>
          </w:p>
        </w:tc>
      </w:tr>
      <w:tr w:rsidR="002D1216" w:rsidRPr="002D1216" w14:paraId="35803644"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3A3AF0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Total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97F9DE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-0.0001</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FD97D6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0.00004</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5AC09F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-3.150</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407421D"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0.002</w:t>
            </w:r>
          </w:p>
        </w:tc>
      </w:tr>
      <w:tr w:rsidR="002D1216" w:rsidRPr="002D1216" w14:paraId="0DF87203"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2AE9F7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Emotional Abuse * CTQ Physical Abuse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028DDD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-0.030</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AD2743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6C235C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-2.291</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3960987"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0.022</w:t>
            </w:r>
          </w:p>
        </w:tc>
      </w:tr>
      <w:tr w:rsidR="002D1216" w:rsidRPr="002D1216" w14:paraId="6CA200EB"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F3A9B2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Abuse * CTQ Sexual Abuse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5E2A1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5826E4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7CE830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-1.208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8854B2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0.227</w:t>
            </w:r>
          </w:p>
        </w:tc>
      </w:tr>
      <w:tr w:rsidR="002D1216" w:rsidRPr="002D1216" w14:paraId="252EF956"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E0A361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Abuse * CTQ Emotional Neglect</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8C956B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0.050</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11505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6444F4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3.197</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5A34F88"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0.001</w:t>
            </w:r>
          </w:p>
        </w:tc>
      </w:tr>
      <w:tr w:rsidR="002D1216" w:rsidRPr="002D1216" w14:paraId="11B87322"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620256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Abuse * CTQ Minimization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A48572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-0.278</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44478D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1DCABB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-2.176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9B57790"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0.030</w:t>
            </w:r>
          </w:p>
        </w:tc>
      </w:tr>
      <w:tr w:rsidR="002D1216" w:rsidRPr="002D1216" w14:paraId="7A732E84"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25A31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Abuse * Trait Anxiety</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AEE08A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0.009</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8CEAA6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0.005</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B6B68F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1.610</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A68CC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0.107</w:t>
            </w:r>
          </w:p>
        </w:tc>
      </w:tr>
      <w:tr w:rsidR="002D1216" w:rsidRPr="002D1216" w14:paraId="1B76551D"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CC6CC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 * CTQ Minimization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075B44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0.164</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E920B8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3D0AD3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1.858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9287F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0.063</w:t>
            </w:r>
          </w:p>
        </w:tc>
      </w:tr>
      <w:tr w:rsidR="002D1216" w:rsidRPr="002D1216" w14:paraId="73BE0E79"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5ABF93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 * Trait Anxiety</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184E8A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-0.006</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2DF476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AC345B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-1.594</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056245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0.111</w:t>
            </w:r>
          </w:p>
        </w:tc>
      </w:tr>
      <w:tr w:rsidR="002D1216" w:rsidRPr="002D1216" w14:paraId="67ADA02F"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D3E407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 * Gender (Female)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83C605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0.281</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F4993A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0.181</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4B2F6B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1.554</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AEA99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0.120</w:t>
            </w:r>
          </w:p>
        </w:tc>
      </w:tr>
      <w:tr w:rsidR="002D1216" w:rsidRPr="002D1216" w14:paraId="742BCD6D"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AE7151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 * Total Household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E213AB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-0.000007</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BD782F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5C8CFF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-2.620</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DF2F71"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0.009</w:t>
            </w:r>
          </w:p>
        </w:tc>
      </w:tr>
      <w:tr w:rsidR="002D1216" w:rsidRPr="002D1216" w14:paraId="5034BB12"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F74C47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 * Total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DA1B21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0.000006</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F390FC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B1F9B8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1.838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9DD65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0.066</w:t>
            </w:r>
          </w:p>
        </w:tc>
      </w:tr>
      <w:tr w:rsidR="002D1216" w:rsidRPr="002D1216" w14:paraId="6A162133"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1F977D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Sexual Abuse * Highest Education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77EFF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-0.025</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3E982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0.019</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A60B2F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-1.307</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ABE858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0.191</w:t>
            </w:r>
          </w:p>
        </w:tc>
      </w:tr>
      <w:tr w:rsidR="002D1216" w:rsidRPr="002D1216" w14:paraId="6B0C6DBC"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049D75"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Emotional Neglect * Highest Education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2197BF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-0.032</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B6040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FC4809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-1.818</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0850B3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0.069</w:t>
            </w:r>
          </w:p>
        </w:tc>
      </w:tr>
      <w:tr w:rsidR="002D1216" w:rsidRPr="002D1216" w14:paraId="68F12488"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6DAB1F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Neglect * Total Household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EE9531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824E8A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AFE25F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-1.909</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303195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0.056</w:t>
            </w:r>
          </w:p>
        </w:tc>
      </w:tr>
      <w:tr w:rsidR="002D1216" w:rsidRPr="002D1216" w14:paraId="5BFB15FB"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613592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CTQ Physical Neglect * Total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4F647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0.000009</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3CEE1E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BD5A9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2.696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54966D7"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0.007</w:t>
            </w:r>
          </w:p>
        </w:tc>
      </w:tr>
      <w:tr w:rsidR="002D1216" w:rsidRPr="002D1216" w14:paraId="02E22E9E"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A8720C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lastRenderedPageBreak/>
              <w:t>CTQ Physical Neglect * Highest Education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D01C0B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0.035</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74B3CC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C680B7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1.352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8BC3C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0.176</w:t>
            </w:r>
          </w:p>
        </w:tc>
      </w:tr>
      <w:tr w:rsidR="002D1216" w:rsidRPr="002D1216" w14:paraId="20A6195E"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A2312F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 xml:space="preserve">Trait Anxiety * Age </w:t>
            </w:r>
            <w:proofErr w:type="gramStart"/>
            <w:r w:rsidRPr="002D1216">
              <w:rPr>
                <w:rFonts w:ascii="Cambria" w:eastAsia="Calibri" w:hAnsi="Cambria" w:cs="Calibri"/>
                <w:b/>
                <w:bCs/>
                <w:color w:val="000000"/>
                <w:sz w:val="24"/>
                <w:szCs w:val="24"/>
              </w:rPr>
              <w:t>At</w:t>
            </w:r>
            <w:proofErr w:type="gramEnd"/>
            <w:r w:rsidRPr="002D1216">
              <w:rPr>
                <w:rFonts w:ascii="Cambria" w:eastAsia="Calibri" w:hAnsi="Cambria" w:cs="Calibri"/>
                <w:b/>
                <w:bCs/>
                <w:color w:val="000000"/>
                <w:sz w:val="24"/>
                <w:szCs w:val="24"/>
              </w:rPr>
              <w:t xml:space="preserve"> Interview</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9BE7C6"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17776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54DDBB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-1.583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6F358E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0.113</w:t>
            </w:r>
          </w:p>
        </w:tc>
      </w:tr>
      <w:tr w:rsidR="002D1216" w:rsidRPr="002D1216" w14:paraId="6636202D"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F27EC4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Trait Anxiety * Total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99F9A4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AEDC09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0.0000006</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E0299A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1.841</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4CC8C7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0.066</w:t>
            </w:r>
          </w:p>
        </w:tc>
      </w:tr>
      <w:tr w:rsidR="002D1216" w:rsidRPr="002D1216" w14:paraId="3A609D2C"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57D41ED"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C-Reactive Protein * Total Household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1570A4B"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332E05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1D58EF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-2.083</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38DABBBA"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0.037</w:t>
            </w:r>
          </w:p>
        </w:tc>
      </w:tr>
      <w:tr w:rsidR="002D1216" w:rsidRPr="002D1216" w14:paraId="747D3354"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77A693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C-Reactive Protein * Highest Education</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E2340B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0.049</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49768F3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6461DA12"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2.170</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8F7C640"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0.030</w:t>
            </w:r>
          </w:p>
        </w:tc>
      </w:tr>
      <w:tr w:rsidR="002D1216" w:rsidRPr="002D1216" w14:paraId="28A35289"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0227128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Gender (Female) * Total Household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FFFA0F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0.00003</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CCDD86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0.00001</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FF2CCC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2.172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0A658A4"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0.030</w:t>
            </w:r>
          </w:p>
        </w:tc>
      </w:tr>
      <w:tr w:rsidR="002D1216" w:rsidRPr="002D1216" w14:paraId="3258B8EC" w14:textId="77777777" w:rsidTr="00FE3472">
        <w:trPr>
          <w:trHeight w:val="300"/>
        </w:trPr>
        <w:tc>
          <w:tcPr>
            <w:tcW w:w="396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CA22C23"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Gender (Female) * Total Income</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1483F07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1440"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24ABDB98"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70142710"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-0.987</w:t>
            </w:r>
          </w:p>
        </w:tc>
        <w:tc>
          <w:tcPr>
            <w:tcW w:w="864" w:type="dxa"/>
            <w:tcBorders>
              <w:top w:val="none" w:sz="0" w:space="0" w:color="000000" w:themeColor="text1"/>
              <w:left w:val="none" w:sz="0" w:space="0" w:color="000000" w:themeColor="text1"/>
              <w:bottom w:val="none" w:sz="0" w:space="0" w:color="000000" w:themeColor="text1"/>
              <w:right w:val="none" w:sz="0" w:space="0" w:color="000000" w:themeColor="text1"/>
            </w:tcBorders>
            <w:shd w:val="clear" w:color="auto" w:fill="FFFFFF" w:themeFill="background1"/>
            <w:tcMar>
              <w:top w:w="0" w:type="dxa"/>
              <w:left w:w="0" w:type="dxa"/>
              <w:bottom w:w="0" w:type="dxa"/>
              <w:right w:w="0" w:type="dxa"/>
            </w:tcMar>
            <w:vAlign w:val="center"/>
          </w:tcPr>
          <w:p w14:paraId="502B90A4"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0.323</w:t>
            </w:r>
          </w:p>
        </w:tc>
      </w:tr>
      <w:tr w:rsidR="002D1216" w:rsidRPr="002D1216" w14:paraId="041E856F" w14:textId="77777777" w:rsidTr="00FE3472">
        <w:trPr>
          <w:trHeight w:val="300"/>
        </w:trPr>
        <w:tc>
          <w:tcPr>
            <w:tcW w:w="3960"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10BB0B4E"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Gender (Female) * Highest Education</w:t>
            </w:r>
          </w:p>
        </w:tc>
        <w:tc>
          <w:tcPr>
            <w:tcW w:w="1440"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72AD737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0.261</w:t>
            </w:r>
          </w:p>
        </w:tc>
        <w:tc>
          <w:tcPr>
            <w:tcW w:w="1440"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0332BA87"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0.140</w:t>
            </w:r>
          </w:p>
        </w:tc>
        <w:tc>
          <w:tcPr>
            <w:tcW w:w="864"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4C2A85EA"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1.872</w:t>
            </w:r>
          </w:p>
        </w:tc>
        <w:tc>
          <w:tcPr>
            <w:tcW w:w="864" w:type="dxa"/>
            <w:tcBorders>
              <w:top w:val="none" w:sz="0" w:space="0" w:color="000000" w:themeColor="text1"/>
              <w:left w:val="none" w:sz="0" w:space="0" w:color="000000" w:themeColor="text1"/>
              <w:bottom w:val="single" w:sz="12" w:space="0" w:color="666666"/>
              <w:right w:val="none" w:sz="0" w:space="0" w:color="000000" w:themeColor="text1"/>
            </w:tcBorders>
            <w:shd w:val="clear" w:color="auto" w:fill="FFFFFF" w:themeFill="background1"/>
            <w:tcMar>
              <w:top w:w="0" w:type="dxa"/>
              <w:left w:w="0" w:type="dxa"/>
              <w:bottom w:w="0" w:type="dxa"/>
              <w:right w:w="0" w:type="dxa"/>
            </w:tcMar>
            <w:vAlign w:val="center"/>
          </w:tcPr>
          <w:p w14:paraId="166036A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0.061</w:t>
            </w:r>
          </w:p>
        </w:tc>
      </w:tr>
    </w:tbl>
    <w:p w14:paraId="21F1AD19"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Dependent variable: Probability of taking long term medication for chronic pain (N = 600). Null deviance: 383.69 on 599 degrees of freedom. Residual deviance: 303.66 on 565 degrees of freedom AIC: 373.66.</w:t>
      </w:r>
    </w:p>
    <w:p w14:paraId="4F8A4D48" w14:textId="77777777" w:rsidR="002D1216" w:rsidRPr="002D1216" w:rsidRDefault="002D1216" w:rsidP="002B0F75">
      <w:pPr>
        <w:spacing w:after="0" w:line="360" w:lineRule="auto"/>
        <w:rPr>
          <w:rFonts w:ascii="Cambria" w:eastAsia="Calibri" w:hAnsi="Cambria" w:cs="Calibri"/>
          <w:color w:val="000000"/>
          <w:sz w:val="24"/>
          <w:szCs w:val="24"/>
        </w:rPr>
      </w:pPr>
    </w:p>
    <w:p w14:paraId="07C39BA6" w14:textId="77777777" w:rsidR="002D1216" w:rsidRDefault="002D1216" w:rsidP="00861CD3">
      <w:pPr>
        <w:spacing w:after="0" w:line="360" w:lineRule="auto"/>
        <w:rPr>
          <w:rFonts w:ascii="Cambria" w:eastAsia="Calibri" w:hAnsi="Cambria" w:cs="Calibri"/>
          <w:color w:val="000000"/>
          <w:sz w:val="24"/>
          <w:szCs w:val="24"/>
        </w:rPr>
      </w:pPr>
      <w:bookmarkStart w:id="150" w:name="_Hlk165209319"/>
      <w:r w:rsidRPr="002D1216">
        <w:rPr>
          <w:rFonts w:ascii="Cambria" w:eastAsia="Calibri" w:hAnsi="Cambria" w:cs="Calibri"/>
          <w:color w:val="000000"/>
          <w:sz w:val="24"/>
          <w:szCs w:val="24"/>
        </w:rPr>
        <w:t xml:space="preserve">Emotional abuse, female gender, total household and total (personal) income independently significantly predicted medication use for chronic pain. For emotional abuse, with each one unit increase the log odds of taking medication for chronic pain increased by 0.275. For every one-unit change in total income, the log odds of medication use for chronic pain increased by 0.00004 for total household income but decreased by 0.0001 for total personal income. Female gender vs male decreased the log odds of medication use for chronic pain by 4.208. </w:t>
      </w:r>
    </w:p>
    <w:p w14:paraId="6E0A402D" w14:textId="77777777" w:rsidR="002B0F75" w:rsidRPr="002D1216" w:rsidRDefault="002B0F75" w:rsidP="002B0F75">
      <w:pPr>
        <w:spacing w:after="0" w:line="360" w:lineRule="auto"/>
        <w:rPr>
          <w:rFonts w:ascii="Cambria" w:eastAsia="Calibri" w:hAnsi="Cambria" w:cs="Calibri"/>
          <w:color w:val="000000"/>
          <w:sz w:val="24"/>
          <w:szCs w:val="24"/>
        </w:rPr>
      </w:pPr>
    </w:p>
    <w:p w14:paraId="7636F6A2" w14:textId="77777777" w:rsidR="002D1216" w:rsidRDefault="002D1216" w:rsidP="00861CD3">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main CAs interacting with each other significantly to predict pain medication use included emotional abuse and physical abuse, physical abuse and emotional neglect, and physical abuse and minimization. Significant interactions between CAs and the control variables included sexual abuse and total household income, and physical neglect and total income. CRP interactions with control variables, were CRP and total household income, and </w:t>
      </w:r>
      <w:r w:rsidRPr="002D1216">
        <w:rPr>
          <w:rFonts w:ascii="Cambria" w:eastAsia="Calibri" w:hAnsi="Cambria" w:cs="Calibri"/>
          <w:color w:val="000000"/>
          <w:sz w:val="24"/>
          <w:szCs w:val="24"/>
        </w:rPr>
        <w:lastRenderedPageBreak/>
        <w:t>CRP and highest education. Finally, the control variables significantly interacting with each other were gender and income total household income</w:t>
      </w:r>
      <w:bookmarkEnd w:id="150"/>
      <w:r w:rsidRPr="002D1216">
        <w:rPr>
          <w:rFonts w:ascii="Cambria" w:eastAsia="Calibri" w:hAnsi="Cambria" w:cs="Calibri"/>
          <w:color w:val="000000"/>
          <w:sz w:val="24"/>
          <w:szCs w:val="24"/>
        </w:rPr>
        <w:t>. These interactions are explained in more detail below (</w:t>
      </w:r>
      <w:r w:rsidRPr="002D1216">
        <w:rPr>
          <w:rFonts w:ascii="Cambria" w:eastAsia="Calibri" w:hAnsi="Cambria" w:cs="Calibri"/>
          <w:b/>
          <w:bCs/>
          <w:color w:val="000000"/>
          <w:sz w:val="24"/>
          <w:szCs w:val="24"/>
        </w:rPr>
        <w:t>Figure 6</w:t>
      </w:r>
      <w:r w:rsidRPr="002D1216">
        <w:rPr>
          <w:rFonts w:ascii="Cambria" w:eastAsia="Calibri" w:hAnsi="Cambria" w:cs="Calibri"/>
          <w:color w:val="000000"/>
          <w:sz w:val="24"/>
          <w:szCs w:val="24"/>
        </w:rPr>
        <w:t>).</w:t>
      </w:r>
    </w:p>
    <w:p w14:paraId="79408DE7" w14:textId="77777777" w:rsidR="002B0F75" w:rsidRPr="002D1216" w:rsidRDefault="002B0F75" w:rsidP="002B0F75">
      <w:pPr>
        <w:spacing w:after="0" w:line="360" w:lineRule="auto"/>
        <w:rPr>
          <w:rFonts w:ascii="Cambria" w:eastAsia="Calibri" w:hAnsi="Cambria" w:cs="Calibri"/>
          <w:color w:val="000000"/>
          <w:sz w:val="24"/>
          <w:szCs w:val="24"/>
        </w:rPr>
      </w:pPr>
    </w:p>
    <w:p w14:paraId="35A0A20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For the visualized regressions, lower rates of physical abuse paired with increased occurrence of emotional abuse led to a moderate increase in pain medication use, but there was no impact at other rates of physical abuse (</w:t>
      </w:r>
      <w:r w:rsidRPr="002D1216">
        <w:rPr>
          <w:rFonts w:ascii="Cambria" w:eastAsia="Calibri" w:hAnsi="Cambria" w:cs="Calibri"/>
          <w:b/>
          <w:bCs/>
          <w:color w:val="000000"/>
          <w:sz w:val="24"/>
          <w:szCs w:val="24"/>
        </w:rPr>
        <w:t>Figure 6A</w:t>
      </w:r>
      <w:r w:rsidRPr="002D1216">
        <w:rPr>
          <w:rFonts w:ascii="Cambria" w:eastAsia="Calibri" w:hAnsi="Cambria" w:cs="Calibri"/>
          <w:color w:val="000000"/>
          <w:sz w:val="24"/>
          <w:szCs w:val="24"/>
        </w:rPr>
        <w:t xml:space="preserve">). </w:t>
      </w:r>
      <w:bookmarkStart w:id="151" w:name="_Hlk167297796"/>
      <w:r w:rsidRPr="002D1216">
        <w:rPr>
          <w:rFonts w:ascii="Cambria" w:eastAsia="Calibri" w:hAnsi="Cambria" w:cs="Calibri"/>
          <w:color w:val="000000"/>
          <w:sz w:val="24"/>
          <w:szCs w:val="24"/>
        </w:rPr>
        <w:t>At the highest rates of emotional neglect and increasing physical abuse, the likelihood of taking pain medication for chronic pain greatly increased (</w:t>
      </w:r>
      <w:r w:rsidRPr="002D1216">
        <w:rPr>
          <w:rFonts w:ascii="Cambria" w:eastAsia="Calibri" w:hAnsi="Cambria" w:cs="Calibri"/>
          <w:b/>
          <w:bCs/>
          <w:color w:val="000000"/>
          <w:sz w:val="24"/>
          <w:szCs w:val="24"/>
        </w:rPr>
        <w:t>Figure 6B</w:t>
      </w:r>
      <w:r w:rsidRPr="002D1216">
        <w:rPr>
          <w:rFonts w:ascii="Cambria" w:eastAsia="Calibri" w:hAnsi="Cambria" w:cs="Calibri"/>
          <w:color w:val="000000"/>
          <w:sz w:val="24"/>
          <w:szCs w:val="24"/>
        </w:rPr>
        <w:t>), however, this gradually lost impact at lower emotional neglect rates. Interestingly, only the highest rate of minimization, interacting with the lowest rates of physical abuse, had a slight increase in pain medication for chronic pain use (</w:t>
      </w:r>
      <w:r w:rsidRPr="002D1216">
        <w:rPr>
          <w:rFonts w:ascii="Cambria" w:eastAsia="Calibri" w:hAnsi="Cambria" w:cs="Calibri"/>
          <w:b/>
          <w:bCs/>
          <w:color w:val="000000"/>
          <w:sz w:val="24"/>
          <w:szCs w:val="24"/>
        </w:rPr>
        <w:t>Figure 6C</w:t>
      </w:r>
      <w:r w:rsidRPr="002D1216">
        <w:rPr>
          <w:rFonts w:ascii="Cambria" w:eastAsia="Calibri" w:hAnsi="Cambria" w:cs="Calibri"/>
          <w:color w:val="000000"/>
          <w:sz w:val="24"/>
          <w:szCs w:val="24"/>
        </w:rPr>
        <w:t>), with all other rates showing little impact and no impact at physical abuse levels above 7.5. At the lowest level of household income, an increasing frequency of sexual abuse increased the likelihood of taking pain medication for chronic pain (</w:t>
      </w:r>
      <w:r w:rsidRPr="002D1216">
        <w:rPr>
          <w:rFonts w:ascii="Cambria" w:eastAsia="Calibri" w:hAnsi="Cambria" w:cs="Calibri"/>
          <w:b/>
          <w:bCs/>
          <w:color w:val="000000"/>
          <w:sz w:val="24"/>
          <w:szCs w:val="24"/>
        </w:rPr>
        <w:t>Figure 6D</w:t>
      </w:r>
      <w:r w:rsidRPr="002D1216">
        <w:rPr>
          <w:rFonts w:ascii="Cambria" w:eastAsia="Calibri" w:hAnsi="Cambria" w:cs="Calibri"/>
          <w:color w:val="000000"/>
          <w:sz w:val="24"/>
          <w:szCs w:val="24"/>
        </w:rPr>
        <w:t>); but at all other household income levels there was little influence of sexual abuse.</w:t>
      </w:r>
      <w:bookmarkEnd w:id="151"/>
      <w:r w:rsidRPr="002D1216">
        <w:rPr>
          <w:rFonts w:ascii="Cambria" w:eastAsia="Calibri" w:hAnsi="Cambria" w:cs="Calibri"/>
          <w:color w:val="000000"/>
          <w:sz w:val="24"/>
          <w:szCs w:val="24"/>
        </w:rPr>
        <w:t xml:space="preserve"> At the lowest level of total personal income, there was no impact of increasing physical neglect on the likelihood of taking pain medication, while for all other levels of income, higher levels of physical neglect were related with an increased chance of taking pain medication (</w:t>
      </w:r>
      <w:r w:rsidRPr="002D1216">
        <w:rPr>
          <w:rFonts w:ascii="Cambria" w:eastAsia="Calibri" w:hAnsi="Cambria" w:cs="Calibri"/>
          <w:b/>
          <w:bCs/>
          <w:color w:val="000000"/>
          <w:sz w:val="24"/>
          <w:szCs w:val="24"/>
        </w:rPr>
        <w:t>Figure 6E</w:t>
      </w:r>
      <w:r w:rsidRPr="002D1216">
        <w:rPr>
          <w:rFonts w:ascii="Cambria" w:eastAsia="Calibri" w:hAnsi="Cambria" w:cs="Calibri"/>
          <w:color w:val="000000"/>
          <w:sz w:val="24"/>
          <w:szCs w:val="24"/>
        </w:rPr>
        <w:t>). At the lowest household income, increasing CRP level slightly decreased the likelihood of taking pain medication for chronic pain (</w:t>
      </w:r>
      <w:r w:rsidRPr="002D1216">
        <w:rPr>
          <w:rFonts w:ascii="Cambria" w:eastAsia="Calibri" w:hAnsi="Cambria" w:cs="Calibri"/>
          <w:b/>
          <w:bCs/>
          <w:color w:val="000000"/>
          <w:sz w:val="24"/>
          <w:szCs w:val="24"/>
        </w:rPr>
        <w:t>Figure 6F</w:t>
      </w:r>
      <w:r w:rsidRPr="002D1216">
        <w:rPr>
          <w:rFonts w:ascii="Cambria" w:eastAsia="Calibri" w:hAnsi="Cambria" w:cs="Calibri"/>
          <w:color w:val="000000"/>
          <w:sz w:val="24"/>
          <w:szCs w:val="24"/>
        </w:rPr>
        <w:t>), while for all other income levels there was little influence of CRP on medication intake. At the highest education level, increasing CRP increased the likelihood of taking pain medication, but at the other education levels, only an increase in CRP from 0 to 5 made any difference, and this was in the form of a decrease in medication for pain usage (</w:t>
      </w:r>
      <w:r w:rsidRPr="002D1216">
        <w:rPr>
          <w:rFonts w:ascii="Cambria" w:eastAsia="Calibri" w:hAnsi="Cambria" w:cs="Calibri"/>
          <w:b/>
          <w:bCs/>
          <w:color w:val="000000"/>
          <w:sz w:val="24"/>
          <w:szCs w:val="24"/>
        </w:rPr>
        <w:t>Figure 6G</w:t>
      </w:r>
      <w:r w:rsidRPr="002D1216">
        <w:rPr>
          <w:rFonts w:ascii="Cambria" w:eastAsia="Calibri" w:hAnsi="Cambria" w:cs="Calibri"/>
          <w:color w:val="000000"/>
          <w:sz w:val="24"/>
          <w:szCs w:val="24"/>
        </w:rPr>
        <w:t>). Finally, male gender at the lowest total household income level meant a slightly increased likelihood of pain medication usage compared to reported female gender (</w:t>
      </w:r>
      <w:r w:rsidRPr="002D1216">
        <w:rPr>
          <w:rFonts w:ascii="Cambria" w:eastAsia="Calibri" w:hAnsi="Cambria" w:cs="Calibri"/>
          <w:b/>
          <w:bCs/>
          <w:color w:val="000000"/>
          <w:sz w:val="24"/>
          <w:szCs w:val="24"/>
        </w:rPr>
        <w:t>Figure 6H</w:t>
      </w:r>
      <w:r w:rsidRPr="002D1216">
        <w:rPr>
          <w:rFonts w:ascii="Cambria" w:eastAsia="Calibri" w:hAnsi="Cambria" w:cs="Calibri"/>
          <w:color w:val="000000"/>
          <w:sz w:val="24"/>
          <w:szCs w:val="24"/>
        </w:rPr>
        <w:t>), but this impact gradually disappeared as total household income increased.</w:t>
      </w:r>
    </w:p>
    <w:p w14:paraId="6E75E101"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 </w:t>
      </w:r>
      <w:r w:rsidRPr="002D1216">
        <w:rPr>
          <w:rFonts w:ascii="Cambria" w:eastAsia="Calibri" w:hAnsi="Cambria" w:cs="Calibri"/>
          <w:noProof/>
          <w:color w:val="000000"/>
          <w:sz w:val="24"/>
          <w:szCs w:val="24"/>
        </w:rPr>
        <w:drawing>
          <wp:inline distT="0" distB="0" distL="0" distR="0" wp14:anchorId="125D2B74" wp14:editId="1B58C182">
            <wp:extent cx="5303520" cy="7071362"/>
            <wp:effectExtent l="0" t="0" r="0" b="0"/>
            <wp:docPr id="583953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21265" cy="7095022"/>
                    </a:xfrm>
                    <a:prstGeom prst="rect">
                      <a:avLst/>
                    </a:prstGeom>
                    <a:noFill/>
                    <a:ln>
                      <a:noFill/>
                    </a:ln>
                  </pic:spPr>
                </pic:pic>
              </a:graphicData>
            </a:graphic>
          </wp:inline>
        </w:drawing>
      </w:r>
    </w:p>
    <w:p w14:paraId="3B45CF1C" w14:textId="77777777" w:rsidR="002D1216" w:rsidRPr="002D1216" w:rsidRDefault="002D1216"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Figure 6. Partial regressions of long-term medication use for chronic pain</w:t>
      </w:r>
    </w:p>
    <w:p w14:paraId="002746CF"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t>Note:</w:t>
      </w:r>
      <w:r w:rsidRPr="002D1216">
        <w:rPr>
          <w:rFonts w:ascii="Cambria" w:eastAsia="Calibri" w:hAnsi="Cambria" w:cs="Calibri"/>
          <w:color w:val="000000"/>
          <w:sz w:val="24"/>
          <w:szCs w:val="24"/>
        </w:rPr>
        <w:t xml:space="preserve"> The likelihood of medication </w:t>
      </w:r>
      <w:proofErr w:type="gramStart"/>
      <w:r w:rsidRPr="002D1216">
        <w:rPr>
          <w:rFonts w:ascii="Cambria" w:eastAsia="Calibri" w:hAnsi="Cambria" w:cs="Calibri"/>
          <w:color w:val="000000"/>
          <w:sz w:val="24"/>
          <w:szCs w:val="24"/>
        </w:rPr>
        <w:t>use</w:t>
      </w:r>
      <w:proofErr w:type="gramEnd"/>
      <w:r w:rsidRPr="002D1216">
        <w:rPr>
          <w:rFonts w:ascii="Cambria" w:eastAsia="Calibri" w:hAnsi="Cambria" w:cs="Calibri"/>
          <w:color w:val="000000"/>
          <w:sz w:val="24"/>
          <w:szCs w:val="24"/>
        </w:rPr>
        <w:t xml:space="preserve"> for chronic pain presences increase as the y-axis increases to 100%.</w:t>
      </w:r>
      <w:bookmarkStart w:id="152" w:name="_Hlk164789206"/>
      <w:bookmarkEnd w:id="72"/>
      <w:bookmarkEnd w:id="152"/>
    </w:p>
    <w:p w14:paraId="7DD41A4F" w14:textId="77777777" w:rsidR="002D1216" w:rsidRPr="002D1216" w:rsidRDefault="002D1216" w:rsidP="002B0F75">
      <w:pPr>
        <w:spacing w:after="0" w:line="360" w:lineRule="auto"/>
        <w:rPr>
          <w:rFonts w:ascii="Cambria" w:eastAsia="Calibri" w:hAnsi="Cambria" w:cs="Calibri"/>
          <w:color w:val="000000"/>
          <w:sz w:val="24"/>
          <w:szCs w:val="24"/>
        </w:rPr>
      </w:pPr>
    </w:p>
    <w:p w14:paraId="4D0241DC" w14:textId="77777777"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b/>
          <w:bCs/>
          <w:color w:val="000000"/>
          <w:sz w:val="24"/>
          <w:szCs w:val="24"/>
        </w:rPr>
        <w:lastRenderedPageBreak/>
        <w:t>Discussion</w:t>
      </w:r>
    </w:p>
    <w:p w14:paraId="2C75F899" w14:textId="77777777" w:rsidR="002B0F75" w:rsidRDefault="002B0F75" w:rsidP="00861CD3">
      <w:pPr>
        <w:spacing w:after="0" w:line="360" w:lineRule="auto"/>
        <w:rPr>
          <w:rFonts w:ascii="Cambria" w:eastAsia="Calibri" w:hAnsi="Cambria" w:cs="Calibri"/>
          <w:color w:val="000000"/>
          <w:sz w:val="24"/>
          <w:szCs w:val="24"/>
        </w:rPr>
      </w:pPr>
      <w:bookmarkStart w:id="153" w:name="_Hlk137493822"/>
    </w:p>
    <w:p w14:paraId="6AA57235" w14:textId="59339F60" w:rsidR="002D1216" w:rsidRPr="002D1216" w:rsidRDefault="002D1216"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Using the MIDUS dataset, this study examined the relationships between reported CAs, anxiety, and pain; assessed the associations between CAs, anxiety, inflammation via CRP levels, and pain; and explored how CAs, anxiety, and CRP were potentially associated with pain-medication consumption. </w:t>
      </w:r>
      <w:bookmarkEnd w:id="153"/>
      <w:r w:rsidRPr="002D1216">
        <w:rPr>
          <w:rFonts w:ascii="Cambria" w:eastAsia="Calibri" w:hAnsi="Cambria" w:cs="Calibri"/>
          <w:color w:val="000000"/>
          <w:sz w:val="24"/>
          <w:szCs w:val="24"/>
        </w:rPr>
        <w:t xml:space="preserve">None of the CAs, anxiety, or CRP significantly predicted chronic pain presence independently, but the several interactions were significant and offer unique insight into previously held assumptions surrounding ACEs, mental health, and whether socio-demographic variables significantly impact on the effects of these. </w:t>
      </w:r>
    </w:p>
    <w:p w14:paraId="2B6091BF" w14:textId="77777777" w:rsidR="002B0F75" w:rsidRDefault="002B0F75" w:rsidP="00861CD3">
      <w:pPr>
        <w:spacing w:after="0" w:line="360" w:lineRule="auto"/>
        <w:rPr>
          <w:rFonts w:ascii="Cambria" w:eastAsia="Calibri" w:hAnsi="Cambria" w:cs="Calibri"/>
          <w:color w:val="000000" w:themeColor="text1"/>
          <w:sz w:val="24"/>
          <w:szCs w:val="24"/>
        </w:rPr>
      </w:pPr>
    </w:p>
    <w:p w14:paraId="28537A4B" w14:textId="260866E8" w:rsidR="002D1216" w:rsidRPr="002D1216" w:rsidRDefault="179D8B01" w:rsidP="002B0F75">
      <w:pPr>
        <w:spacing w:after="0" w:line="360" w:lineRule="auto"/>
        <w:rPr>
          <w:rFonts w:ascii="Cambria" w:eastAsia="Calibri" w:hAnsi="Cambria" w:cs="Calibri"/>
          <w:color w:val="000000" w:themeColor="text1"/>
          <w:sz w:val="24"/>
          <w:szCs w:val="24"/>
        </w:rPr>
      </w:pPr>
      <w:r w:rsidRPr="5F4A1D07">
        <w:rPr>
          <w:rFonts w:ascii="Cambria" w:eastAsia="Calibri" w:hAnsi="Cambria" w:cs="Calibri"/>
          <w:color w:val="000000" w:themeColor="text1"/>
          <w:sz w:val="24"/>
          <w:szCs w:val="24"/>
        </w:rPr>
        <w:t xml:space="preserve">For the primary objective analysis, a number of variables were significant, including control variables gender (female), total income, and highest education. While none of the CAs or anxiety significantly predicted chronic pain presence independently, various significant interactions predicting chronic pain were found. For instance, there were significant interactions between different types of CAs determining the presence of chronic pain, as well as several significant interactions between CAs and socio-demographic variables. Of the main predictors, those that did not interact with each other or any of the socio-demographic control variables in predicting pain presence were sexual abuse, physical neglect, minimization, and trait anxiety. </w:t>
      </w:r>
    </w:p>
    <w:p w14:paraId="1FFFF88F" w14:textId="77777777" w:rsidR="002B0F75" w:rsidRDefault="002B0F75" w:rsidP="00861CD3">
      <w:pPr>
        <w:spacing w:after="0" w:line="360" w:lineRule="auto"/>
        <w:rPr>
          <w:rFonts w:ascii="Cambria" w:eastAsia="Calibri" w:hAnsi="Cambria" w:cs="Calibri"/>
          <w:color w:val="000000" w:themeColor="text1"/>
          <w:sz w:val="24"/>
          <w:szCs w:val="24"/>
        </w:rPr>
      </w:pPr>
    </w:p>
    <w:p w14:paraId="681B3A90" w14:textId="106EFDD0" w:rsidR="002D1216" w:rsidRDefault="179D8B01" w:rsidP="00861CD3">
      <w:pPr>
        <w:spacing w:after="0" w:line="360" w:lineRule="auto"/>
        <w:rPr>
          <w:rFonts w:ascii="Cambria" w:eastAsia="Calibri" w:hAnsi="Cambria" w:cs="Calibri"/>
          <w:color w:val="000000" w:themeColor="text1"/>
          <w:sz w:val="24"/>
          <w:szCs w:val="24"/>
        </w:rPr>
      </w:pPr>
      <w:r w:rsidRPr="1E06730D">
        <w:rPr>
          <w:rFonts w:ascii="Cambria" w:eastAsia="Calibri" w:hAnsi="Cambria" w:cs="Calibri"/>
          <w:color w:val="000000" w:themeColor="text1"/>
          <w:sz w:val="24"/>
          <w:szCs w:val="24"/>
        </w:rPr>
        <w:t xml:space="preserve">These findings illustrate the complexity around how CAs and socio-demographic variables impact the likelihood of developing chronic pain, where it is not a simple equation of more CAs and/or lower socioeconomic status leading to more pain. </w:t>
      </w:r>
      <w:r w:rsidR="238F5A72" w:rsidRPr="1E06730D">
        <w:rPr>
          <w:rFonts w:ascii="Cambria" w:eastAsia="Calibri" w:hAnsi="Cambria" w:cs="Calibri"/>
          <w:color w:val="000000" w:themeColor="text1"/>
          <w:sz w:val="24"/>
          <w:szCs w:val="24"/>
        </w:rPr>
        <w:t>Consequently, there i</w:t>
      </w:r>
      <w:r w:rsidRPr="1E06730D">
        <w:rPr>
          <w:rFonts w:ascii="Cambria" w:eastAsia="Calibri" w:hAnsi="Cambria" w:cs="Calibri"/>
          <w:color w:val="000000" w:themeColor="text1"/>
          <w:sz w:val="24"/>
          <w:szCs w:val="24"/>
        </w:rPr>
        <w:t>s</w:t>
      </w:r>
      <w:r w:rsidR="00C33651">
        <w:rPr>
          <w:rFonts w:ascii="Cambria" w:eastAsia="Calibri" w:hAnsi="Cambria" w:cs="Calibri"/>
          <w:color w:val="000000" w:themeColor="text1"/>
          <w:sz w:val="24"/>
          <w:szCs w:val="24"/>
        </w:rPr>
        <w:t xml:space="preserve"> </w:t>
      </w:r>
      <w:r w:rsidR="7A40E010" w:rsidRPr="1E06730D">
        <w:rPr>
          <w:rFonts w:ascii="Cambria" w:eastAsia="Calibri" w:hAnsi="Cambria" w:cs="Calibri"/>
          <w:color w:val="000000" w:themeColor="text1"/>
          <w:sz w:val="24"/>
          <w:szCs w:val="24"/>
        </w:rPr>
        <w:t>a</w:t>
      </w:r>
      <w:r w:rsidRPr="1E06730D">
        <w:rPr>
          <w:rFonts w:ascii="Cambria" w:eastAsia="Calibri" w:hAnsi="Cambria" w:cs="Calibri"/>
          <w:color w:val="000000" w:themeColor="text1"/>
          <w:sz w:val="24"/>
          <w:szCs w:val="24"/>
        </w:rPr>
        <w:t xml:space="preserve"> need in clinical practice to gather detailed insights on CA history and socio-demographic situation when assessing a patient with chronic pain, particularly as the present results contradicted some prior research. Although the findings did match with previous evidence showing how ACEs impact the presence of chronic pain, the lack of an interaction with anxiety or direct impact of anxiety on chronic pain presence was surprising and contrasted with existing literature (</w:t>
      </w:r>
      <w:r w:rsidR="00277992" w:rsidRPr="00277992">
        <w:rPr>
          <w:rFonts w:ascii="Cambria" w:eastAsia="Calibri" w:hAnsi="Cambria" w:cs="Calibri"/>
          <w:color w:val="000000" w:themeColor="text1"/>
          <w:sz w:val="24"/>
          <w:szCs w:val="24"/>
        </w:rPr>
        <w:t xml:space="preserve">Sachs-Ericsson </w:t>
      </w:r>
      <w:r w:rsidR="00277992">
        <w:rPr>
          <w:rFonts w:ascii="Cambria" w:eastAsia="Calibri" w:hAnsi="Cambria" w:cs="Calibri"/>
          <w:color w:val="000000" w:themeColor="text1"/>
          <w:sz w:val="24"/>
          <w:szCs w:val="24"/>
        </w:rPr>
        <w:t>et al. 2017; King 2021</w:t>
      </w:r>
      <w:r w:rsidRPr="1E06730D">
        <w:rPr>
          <w:rFonts w:ascii="Cambria" w:eastAsia="Calibri" w:hAnsi="Cambria" w:cs="Calibri"/>
          <w:color w:val="000000" w:themeColor="text1"/>
          <w:sz w:val="24"/>
          <w:szCs w:val="24"/>
        </w:rPr>
        <w:t xml:space="preserve">). For example, in one study, mediation analyses demonstrated that ACEs (verbal and sexual abuse, parental psychopathology, and early parental loss) were linked to increased anxiety and mood </w:t>
      </w:r>
      <w:r w:rsidRPr="1E06730D">
        <w:rPr>
          <w:rFonts w:ascii="Cambria" w:eastAsia="Calibri" w:hAnsi="Cambria" w:cs="Calibri"/>
          <w:color w:val="000000" w:themeColor="text1"/>
          <w:sz w:val="24"/>
          <w:szCs w:val="24"/>
        </w:rPr>
        <w:lastRenderedPageBreak/>
        <w:t>disorders (</w:t>
      </w:r>
      <w:r w:rsidR="00277992" w:rsidRPr="00277992">
        <w:rPr>
          <w:rFonts w:ascii="Cambria" w:eastAsia="Calibri" w:hAnsi="Cambria" w:cs="Calibri"/>
          <w:color w:val="000000" w:themeColor="text1"/>
          <w:sz w:val="24"/>
          <w:szCs w:val="24"/>
        </w:rPr>
        <w:t xml:space="preserve">Sachs-Ericsson </w:t>
      </w:r>
      <w:r w:rsidR="00277992">
        <w:rPr>
          <w:rFonts w:ascii="Cambria" w:eastAsia="Calibri" w:hAnsi="Cambria" w:cs="Calibri"/>
          <w:color w:val="000000" w:themeColor="text1"/>
          <w:sz w:val="24"/>
          <w:szCs w:val="24"/>
        </w:rPr>
        <w:t>et al. 2017</w:t>
      </w:r>
      <w:r w:rsidRPr="1E06730D">
        <w:rPr>
          <w:rFonts w:ascii="Cambria" w:eastAsia="Calibri" w:hAnsi="Cambria" w:cs="Calibri"/>
          <w:color w:val="000000" w:themeColor="text1"/>
          <w:sz w:val="24"/>
          <w:szCs w:val="24"/>
        </w:rPr>
        <w:t>). Another study demonstrated that four types of CAs were associated with higher prevalence rates of six different mood and anxiety-related disorders, and self-reported generalized anxiety disorder was specifically associated with physical abuse, emotional abuse, and maternal battering (</w:t>
      </w:r>
      <w:r w:rsidR="00277992">
        <w:rPr>
          <w:rFonts w:ascii="Cambria" w:eastAsia="Calibri" w:hAnsi="Cambria" w:cs="Calibri"/>
          <w:color w:val="000000" w:themeColor="text1"/>
          <w:sz w:val="24"/>
          <w:szCs w:val="24"/>
        </w:rPr>
        <w:t>King 2021</w:t>
      </w:r>
      <w:r w:rsidRPr="1E06730D">
        <w:rPr>
          <w:rFonts w:ascii="Cambria" w:eastAsia="Calibri" w:hAnsi="Cambria" w:cs="Calibri"/>
          <w:color w:val="000000" w:themeColor="text1"/>
          <w:sz w:val="24"/>
          <w:szCs w:val="24"/>
        </w:rPr>
        <w:t>). As demonstrated by various studies (both basic and clinical), ACEs have a profound impact on the development and function of the nervous system (</w:t>
      </w:r>
      <w:r w:rsidR="00277992">
        <w:rPr>
          <w:rFonts w:ascii="Cambria" w:eastAsia="Calibri" w:hAnsi="Cambria" w:cs="Calibri"/>
          <w:color w:val="000000" w:themeColor="text1"/>
          <w:sz w:val="24"/>
          <w:szCs w:val="24"/>
        </w:rPr>
        <w:t>Nemeroff 2016</w:t>
      </w:r>
      <w:r w:rsidRPr="1E06730D">
        <w:rPr>
          <w:rFonts w:ascii="Cambria" w:eastAsia="Calibri" w:hAnsi="Cambria" w:cs="Calibri"/>
          <w:color w:val="000000" w:themeColor="text1"/>
          <w:sz w:val="24"/>
          <w:szCs w:val="24"/>
        </w:rPr>
        <w:t xml:space="preserve">), which we have yet to fully comprehend in terms of adult mental health outcomes such as anxiety. These results highlight that although some physiological and </w:t>
      </w:r>
      <w:r w:rsidR="001809E3" w:rsidRPr="1E06730D">
        <w:rPr>
          <w:rFonts w:ascii="Cambria" w:eastAsia="Calibri" w:hAnsi="Cambria" w:cs="Calibri"/>
          <w:color w:val="000000" w:themeColor="text1"/>
          <w:sz w:val="24"/>
          <w:szCs w:val="24"/>
        </w:rPr>
        <w:t>behavioural</w:t>
      </w:r>
      <w:r w:rsidRPr="1E06730D">
        <w:rPr>
          <w:rFonts w:ascii="Cambria" w:eastAsia="Calibri" w:hAnsi="Cambria" w:cs="Calibri"/>
          <w:color w:val="000000" w:themeColor="text1"/>
          <w:sz w:val="24"/>
          <w:szCs w:val="24"/>
        </w:rPr>
        <w:t xml:space="preserve"> adaptations may start to show earlier in life, the outcomes for psychological and physical health may not arise until decades later for adults with a history of CAs, making it even harder to properly account for all variables potentially playing a role, such as in their co-occurring chronic pain and anxiety. Previous research has also shown that anxiety is associated with chronic pain (</w:t>
      </w:r>
      <w:r w:rsidR="00277992">
        <w:rPr>
          <w:rFonts w:ascii="Cambria" w:eastAsia="Calibri" w:hAnsi="Cambria" w:cs="Calibri"/>
          <w:color w:val="000000" w:themeColor="text1"/>
          <w:sz w:val="24"/>
          <w:szCs w:val="24"/>
        </w:rPr>
        <w:t>Zhang et al. 2024</w:t>
      </w:r>
      <w:r w:rsidRPr="1E06730D">
        <w:rPr>
          <w:rFonts w:ascii="Cambria" w:eastAsia="Calibri" w:hAnsi="Cambria" w:cs="Calibri"/>
          <w:color w:val="000000" w:themeColor="text1"/>
          <w:sz w:val="24"/>
          <w:szCs w:val="24"/>
        </w:rPr>
        <w:t>), and that ACEs relate directly to chronic pain or indirectly via anxiety (</w:t>
      </w:r>
      <w:r w:rsidR="00277992">
        <w:rPr>
          <w:rFonts w:ascii="Cambria" w:eastAsia="Calibri" w:hAnsi="Cambria" w:cs="Calibri"/>
          <w:color w:val="000000" w:themeColor="text1"/>
          <w:sz w:val="24"/>
          <w:szCs w:val="24"/>
        </w:rPr>
        <w:t>Tidmarsh et al. 2022</w:t>
      </w:r>
      <w:r w:rsidRPr="1E06730D">
        <w:rPr>
          <w:rFonts w:ascii="Cambria" w:eastAsia="Calibri" w:hAnsi="Cambria" w:cs="Calibri"/>
          <w:color w:val="000000" w:themeColor="text1"/>
          <w:sz w:val="24"/>
          <w:szCs w:val="24"/>
        </w:rPr>
        <w:t>). This also contrasts with the present findings, which showed that CAs and chronic pain interactions with anxiety were not significant. This suggests the mental health outcomes of individuals with a history of CAs and chronic pain are indeed complex and may not always interact as previously assumed.</w:t>
      </w:r>
    </w:p>
    <w:p w14:paraId="6D184DE4" w14:textId="77777777" w:rsidR="002B0F75" w:rsidRPr="002D1216" w:rsidRDefault="002B0F75" w:rsidP="002B0F75">
      <w:pPr>
        <w:spacing w:after="0" w:line="360" w:lineRule="auto"/>
        <w:rPr>
          <w:rFonts w:ascii="Cambria" w:eastAsia="Calibri" w:hAnsi="Cambria" w:cs="Calibri"/>
          <w:color w:val="000000" w:themeColor="text1"/>
          <w:sz w:val="24"/>
          <w:szCs w:val="24"/>
        </w:rPr>
      </w:pPr>
    </w:p>
    <w:p w14:paraId="556BC8CA" w14:textId="1756A132" w:rsidR="002B0F75" w:rsidRDefault="179D8B01" w:rsidP="002B0F75">
      <w:pPr>
        <w:spacing w:after="0" w:line="360" w:lineRule="auto"/>
        <w:rPr>
          <w:rFonts w:ascii="Cambria" w:eastAsia="Calibri" w:hAnsi="Cambria" w:cs="Calibri"/>
          <w:color w:val="000000" w:themeColor="text1"/>
          <w:sz w:val="24"/>
          <w:szCs w:val="24"/>
        </w:rPr>
      </w:pPr>
      <w:r w:rsidRPr="1E06730D">
        <w:rPr>
          <w:rFonts w:ascii="Cambria" w:eastAsia="Calibri" w:hAnsi="Cambria" w:cs="Calibri"/>
          <w:color w:val="000000" w:themeColor="text1"/>
          <w:sz w:val="24"/>
          <w:szCs w:val="24"/>
        </w:rPr>
        <w:t xml:space="preserve">For the secondary objective analysis of how CRP may be an important underlying factor in the association between ACEs and pain, CRP was indeed significantly correlated with two of the CTQ subscales; emotional abuse and physical neglect. The regression results indicated gender, total-income, and highest-education were also significant predictors of chronic pain. </w:t>
      </w:r>
      <w:bookmarkStart w:id="154" w:name="_Hlk168053368"/>
      <w:r w:rsidRPr="1E06730D">
        <w:rPr>
          <w:rFonts w:ascii="Cambria" w:eastAsia="Calibri" w:hAnsi="Cambria" w:cs="Calibri"/>
          <w:color w:val="000000" w:themeColor="text1"/>
          <w:sz w:val="24"/>
          <w:szCs w:val="24"/>
        </w:rPr>
        <w:t>Significant interactions to explain chronic pain included CAs interacting with each other and CRP with socio-demographic variables such as income and education level</w:t>
      </w:r>
      <w:bookmarkEnd w:id="154"/>
      <w:r w:rsidRPr="1E06730D">
        <w:rPr>
          <w:rFonts w:ascii="Cambria" w:eastAsia="Calibri" w:hAnsi="Cambria" w:cs="Calibri"/>
          <w:color w:val="000000" w:themeColor="text1"/>
          <w:sz w:val="24"/>
          <w:szCs w:val="24"/>
        </w:rPr>
        <w:t>. These findings differ from those of a Denmark cross-sectional and prospective study of 73,131 individuals, where higher CRP level predicted greater psychological distress, depression symptoms, or risk of hospitalization (with depression) 4 to 12 years later in young, middle-aged, or older adults (</w:t>
      </w:r>
      <w:r w:rsidR="00277992" w:rsidRPr="00277992">
        <w:rPr>
          <w:rFonts w:ascii="Cambria" w:eastAsia="Calibri" w:hAnsi="Cambria" w:cs="Calibri"/>
          <w:color w:val="000000" w:themeColor="text1"/>
          <w:sz w:val="24"/>
          <w:szCs w:val="24"/>
        </w:rPr>
        <w:t xml:space="preserve">Wium-Andersen </w:t>
      </w:r>
      <w:r w:rsidR="00277992">
        <w:rPr>
          <w:rFonts w:ascii="Cambria" w:eastAsia="Calibri" w:hAnsi="Cambria" w:cs="Calibri"/>
          <w:color w:val="000000" w:themeColor="text1"/>
          <w:sz w:val="24"/>
          <w:szCs w:val="24"/>
        </w:rPr>
        <w:t>et al. 2013</w:t>
      </w:r>
      <w:r w:rsidRPr="1E06730D">
        <w:rPr>
          <w:rFonts w:ascii="Cambria" w:eastAsia="Calibri" w:hAnsi="Cambria" w:cs="Calibri"/>
          <w:color w:val="000000" w:themeColor="text1"/>
          <w:sz w:val="24"/>
          <w:szCs w:val="24"/>
        </w:rPr>
        <w:t xml:space="preserve">). Contrary to previous CRP research, </w:t>
      </w:r>
      <w:r w:rsidR="63C5DE18" w:rsidRPr="1E06730D">
        <w:rPr>
          <w:rFonts w:ascii="Cambria" w:eastAsia="Calibri" w:hAnsi="Cambria" w:cs="Calibri"/>
          <w:color w:val="000000" w:themeColor="text1"/>
          <w:sz w:val="24"/>
          <w:szCs w:val="24"/>
        </w:rPr>
        <w:t xml:space="preserve">the Danish study </w:t>
      </w:r>
      <w:r w:rsidRPr="1E06730D">
        <w:rPr>
          <w:rFonts w:ascii="Cambria" w:eastAsia="Calibri" w:hAnsi="Cambria" w:cs="Calibri"/>
          <w:color w:val="000000" w:themeColor="text1"/>
          <w:sz w:val="24"/>
          <w:szCs w:val="24"/>
        </w:rPr>
        <w:t>did not find that the association disappeared when adjusting for confounding variables such as BMI and chronic disease (</w:t>
      </w:r>
      <w:r w:rsidR="00277992" w:rsidRPr="00277992">
        <w:rPr>
          <w:rFonts w:ascii="Cambria" w:eastAsia="Calibri" w:hAnsi="Cambria" w:cs="Calibri"/>
          <w:color w:val="000000" w:themeColor="text1"/>
          <w:sz w:val="24"/>
          <w:szCs w:val="24"/>
        </w:rPr>
        <w:t xml:space="preserve">Wium-Andersen </w:t>
      </w:r>
      <w:r w:rsidR="00277992">
        <w:rPr>
          <w:rFonts w:ascii="Cambria" w:eastAsia="Calibri" w:hAnsi="Cambria" w:cs="Calibri"/>
          <w:color w:val="000000" w:themeColor="text1"/>
          <w:sz w:val="24"/>
          <w:szCs w:val="24"/>
        </w:rPr>
        <w:t>et al. 2013</w:t>
      </w:r>
      <w:r w:rsidRPr="1E06730D">
        <w:rPr>
          <w:rFonts w:ascii="Cambria" w:eastAsia="Calibri" w:hAnsi="Cambria" w:cs="Calibri"/>
          <w:color w:val="000000" w:themeColor="text1"/>
          <w:sz w:val="24"/>
          <w:szCs w:val="24"/>
        </w:rPr>
        <w:t xml:space="preserve">). In this way, the present results differed in that anxiety did not have an impact in any </w:t>
      </w:r>
      <w:r w:rsidRPr="1E06730D">
        <w:rPr>
          <w:rFonts w:ascii="Cambria" w:eastAsia="Calibri" w:hAnsi="Cambria" w:cs="Calibri"/>
          <w:color w:val="000000" w:themeColor="text1"/>
          <w:sz w:val="24"/>
          <w:szCs w:val="24"/>
        </w:rPr>
        <w:lastRenderedPageBreak/>
        <w:t xml:space="preserve">of the regression interactions, while socio-demographic variables did play a substantial role. Although the correlations had indicated CRP, CAs (aside from minimization), and anxiety were all significantly positively associated with chronic pain presence, this does not imply a causal relationship nor accounts for the complex interactions that can be identified with linear regressions, and hence should be interpreted with caution. These results highlight the complexity of studying how CRP may be associated with, influencing, or interacting with mental health and/or chronic pain outcomes, and how socio-demographic factors need to be included too. </w:t>
      </w:r>
    </w:p>
    <w:p w14:paraId="6B0714E7" w14:textId="77777777" w:rsidR="00277992" w:rsidRPr="002D1216" w:rsidRDefault="00277992" w:rsidP="002B0F75">
      <w:pPr>
        <w:spacing w:after="0" w:line="360" w:lineRule="auto"/>
        <w:rPr>
          <w:rFonts w:ascii="Cambria" w:eastAsia="Calibri" w:hAnsi="Cambria" w:cs="Calibri"/>
          <w:color w:val="000000" w:themeColor="text1"/>
          <w:sz w:val="24"/>
          <w:szCs w:val="24"/>
        </w:rPr>
      </w:pPr>
    </w:p>
    <w:p w14:paraId="2ECED872" w14:textId="77777777" w:rsidR="002B0F75" w:rsidRDefault="179D8B01" w:rsidP="00861CD3">
      <w:pPr>
        <w:spacing w:after="0" w:line="360" w:lineRule="auto"/>
        <w:rPr>
          <w:rFonts w:ascii="Cambria" w:eastAsia="Calibri" w:hAnsi="Cambria" w:cs="Calibri"/>
          <w:color w:val="000000" w:themeColor="text1"/>
          <w:sz w:val="24"/>
          <w:szCs w:val="24"/>
        </w:rPr>
      </w:pPr>
      <w:r w:rsidRPr="6E2346AC">
        <w:rPr>
          <w:rFonts w:ascii="Cambria" w:eastAsia="Calibri" w:hAnsi="Cambria" w:cs="Calibri"/>
          <w:color w:val="000000" w:themeColor="text1"/>
          <w:sz w:val="24"/>
          <w:szCs w:val="24"/>
        </w:rPr>
        <w:t xml:space="preserve">Lastly, regarding the third objective, our results on the influence of CAs on long term medication use for chronic pain were also complex. </w:t>
      </w:r>
      <w:bookmarkStart w:id="155" w:name="_Hlk167987590"/>
      <w:r w:rsidRPr="6E2346AC">
        <w:rPr>
          <w:rFonts w:ascii="Cambria" w:eastAsia="Calibri" w:hAnsi="Cambria" w:cs="Calibri"/>
          <w:color w:val="000000" w:themeColor="text1"/>
          <w:sz w:val="24"/>
          <w:szCs w:val="24"/>
        </w:rPr>
        <w:t xml:space="preserve">The only variables with a direct impact on predicting medication for chronic pain usage were emotional abuse, male gender, and income (both household and personal income). Again, as seen for the primary objective, the impact of individual CAs was dependent on other CAs and participants’ socio-demographics. Multiple CA variables significantly interacted with each other, and interactions between CAs and the socio-demographic variables were found too. </w:t>
      </w:r>
    </w:p>
    <w:p w14:paraId="0F9645B7" w14:textId="77777777" w:rsidR="002B0F75" w:rsidRDefault="002B0F75" w:rsidP="00861CD3">
      <w:pPr>
        <w:spacing w:after="0" w:line="360" w:lineRule="auto"/>
        <w:rPr>
          <w:rFonts w:ascii="Cambria" w:eastAsia="Calibri" w:hAnsi="Cambria" w:cs="Calibri"/>
          <w:color w:val="000000" w:themeColor="text1"/>
          <w:sz w:val="24"/>
          <w:szCs w:val="24"/>
        </w:rPr>
      </w:pPr>
    </w:p>
    <w:p w14:paraId="306026BD" w14:textId="25E378AA" w:rsidR="002D1216" w:rsidRDefault="179D8B01" w:rsidP="00861CD3">
      <w:pPr>
        <w:spacing w:after="0" w:line="360" w:lineRule="auto"/>
        <w:rPr>
          <w:rFonts w:ascii="Cambria" w:eastAsia="Calibri" w:hAnsi="Cambria" w:cs="Calibri"/>
          <w:color w:val="000000" w:themeColor="text1"/>
          <w:sz w:val="24"/>
          <w:szCs w:val="24"/>
        </w:rPr>
      </w:pPr>
      <w:r w:rsidRPr="6E2346AC">
        <w:rPr>
          <w:rFonts w:ascii="Cambria" w:eastAsia="Calibri" w:hAnsi="Cambria" w:cs="Calibri"/>
          <w:color w:val="000000" w:themeColor="text1"/>
          <w:sz w:val="24"/>
          <w:szCs w:val="24"/>
        </w:rPr>
        <w:t xml:space="preserve">Additionally, there were a couple of significant anxiety or CRP interactions with socio-demographic variables. </w:t>
      </w:r>
      <w:bookmarkEnd w:id="155"/>
      <w:r w:rsidRPr="6E2346AC">
        <w:rPr>
          <w:rFonts w:ascii="Cambria" w:eastAsia="Calibri" w:hAnsi="Cambria" w:cs="Calibri"/>
          <w:color w:val="000000" w:themeColor="text1"/>
          <w:sz w:val="24"/>
          <w:szCs w:val="24"/>
        </w:rPr>
        <w:t>A recent study found that for adults with chronic pain, ACEs were associated with more pain complications and pain catastrophizing, with both independently increasing the risk of early treatment attrition (</w:t>
      </w:r>
      <w:r w:rsidR="00277992">
        <w:rPr>
          <w:rFonts w:ascii="Cambria" w:eastAsia="Calibri" w:hAnsi="Cambria" w:cs="Calibri"/>
          <w:color w:val="000000" w:themeColor="text1"/>
          <w:sz w:val="24"/>
          <w:szCs w:val="24"/>
        </w:rPr>
        <w:t>Tidmarsh et al. 2022</w:t>
      </w:r>
      <w:r w:rsidRPr="6E2346AC">
        <w:rPr>
          <w:rFonts w:ascii="Cambria" w:eastAsia="Calibri" w:hAnsi="Cambria" w:cs="Calibri"/>
          <w:color w:val="000000" w:themeColor="text1"/>
          <w:sz w:val="24"/>
          <w:szCs w:val="24"/>
        </w:rPr>
        <w:t>). Historical epidemiology research has shown that ACEs increase the risk for an adult to develop substance use/abuse disorders (</w:t>
      </w:r>
      <w:r w:rsidR="00277992">
        <w:rPr>
          <w:rFonts w:ascii="Cambria" w:eastAsia="Calibri" w:hAnsi="Cambria" w:cs="Calibri"/>
          <w:color w:val="000000" w:themeColor="text1"/>
          <w:sz w:val="24"/>
          <w:szCs w:val="24"/>
        </w:rPr>
        <w:t>Ande et al. 2002; Dube et al. 2003</w:t>
      </w:r>
      <w:r w:rsidRPr="6E2346AC">
        <w:rPr>
          <w:rFonts w:ascii="Cambria" w:eastAsia="Calibri" w:hAnsi="Cambria" w:cs="Calibri"/>
          <w:color w:val="000000" w:themeColor="text1"/>
          <w:sz w:val="24"/>
          <w:szCs w:val="24"/>
        </w:rPr>
        <w:t xml:space="preserve">). Of note, beyond </w:t>
      </w:r>
      <w:r w:rsidR="00AE75F3">
        <w:rPr>
          <w:rFonts w:ascii="Cambria" w:eastAsia="Calibri" w:hAnsi="Cambria" w:cs="Calibri"/>
          <w:color w:val="000000" w:themeColor="text1"/>
          <w:sz w:val="24"/>
          <w:szCs w:val="24"/>
        </w:rPr>
        <w:t>o</w:t>
      </w:r>
      <w:r w:rsidR="00AE75F3" w:rsidRPr="00AE75F3">
        <w:rPr>
          <w:rFonts w:ascii="Cambria" w:eastAsia="Calibri" w:hAnsi="Cambria" w:cs="Calibri"/>
          <w:color w:val="000000" w:themeColor="text1"/>
          <w:sz w:val="24"/>
          <w:szCs w:val="24"/>
        </w:rPr>
        <w:t>pioid</w:t>
      </w:r>
      <w:r w:rsidRPr="6E2346AC">
        <w:rPr>
          <w:rFonts w:ascii="Cambria" w:eastAsia="Calibri" w:hAnsi="Cambria" w:cs="Calibri"/>
          <w:color w:val="000000" w:themeColor="text1"/>
          <w:sz w:val="24"/>
          <w:szCs w:val="24"/>
        </w:rPr>
        <w:t xml:space="preserve"> dependence—a prevalent issue in the US (</w:t>
      </w:r>
      <w:r w:rsidR="00277992">
        <w:rPr>
          <w:rFonts w:ascii="Cambria" w:eastAsia="Calibri" w:hAnsi="Cambria" w:cs="Calibri"/>
          <w:color w:val="000000" w:themeColor="text1"/>
          <w:sz w:val="24"/>
          <w:szCs w:val="24"/>
        </w:rPr>
        <w:t>Stein et al. 2022</w:t>
      </w:r>
      <w:r w:rsidRPr="6E2346AC">
        <w:rPr>
          <w:rFonts w:ascii="Cambria" w:eastAsia="Calibri" w:hAnsi="Cambria" w:cs="Calibri"/>
          <w:color w:val="000000" w:themeColor="text1"/>
          <w:sz w:val="24"/>
          <w:szCs w:val="24"/>
        </w:rPr>
        <w:t>)—ACEs were also more prevalent among cocaine-dependent adults (</w:t>
      </w:r>
      <w:r w:rsidR="00277992">
        <w:rPr>
          <w:rFonts w:ascii="Cambria" w:eastAsia="Calibri" w:hAnsi="Cambria" w:cs="Calibri"/>
          <w:color w:val="000000" w:themeColor="text1"/>
          <w:sz w:val="24"/>
          <w:szCs w:val="24"/>
        </w:rPr>
        <w:t>Medrano et al. 2002</w:t>
      </w:r>
      <w:r w:rsidRPr="6E2346AC">
        <w:rPr>
          <w:rFonts w:ascii="Cambria" w:eastAsia="Calibri" w:hAnsi="Cambria" w:cs="Calibri"/>
          <w:color w:val="000000" w:themeColor="text1"/>
          <w:sz w:val="24"/>
          <w:szCs w:val="24"/>
        </w:rPr>
        <w:t>) as compared with the general population. In addition, a recent systematic review found that all 20 studies included showed statistical associations between ACEs and either lifetime or current opioid use-related behavio</w:t>
      </w:r>
      <w:r w:rsidR="7B2F8A97" w:rsidRPr="6E2346AC">
        <w:rPr>
          <w:rFonts w:ascii="Cambria" w:eastAsia="Calibri" w:hAnsi="Cambria" w:cs="Calibri"/>
          <w:color w:val="000000" w:themeColor="text1"/>
          <w:sz w:val="24"/>
          <w:szCs w:val="24"/>
        </w:rPr>
        <w:t>u</w:t>
      </w:r>
      <w:r w:rsidRPr="6E2346AC">
        <w:rPr>
          <w:rFonts w:ascii="Cambria" w:eastAsia="Calibri" w:hAnsi="Cambria" w:cs="Calibri"/>
          <w:color w:val="000000" w:themeColor="text1"/>
          <w:sz w:val="24"/>
          <w:szCs w:val="24"/>
        </w:rPr>
        <w:t>rs, but only five demonstrated a significant gradient effect of the number of ACEs increasing with increasing risk of opioid use-related behavio</w:t>
      </w:r>
      <w:r w:rsidR="0751B358" w:rsidRPr="6E2346AC">
        <w:rPr>
          <w:rFonts w:ascii="Cambria" w:eastAsia="Calibri" w:hAnsi="Cambria" w:cs="Calibri"/>
          <w:color w:val="000000" w:themeColor="text1"/>
          <w:sz w:val="24"/>
          <w:szCs w:val="24"/>
        </w:rPr>
        <w:t>u</w:t>
      </w:r>
      <w:r w:rsidRPr="6E2346AC">
        <w:rPr>
          <w:rFonts w:ascii="Cambria" w:eastAsia="Calibri" w:hAnsi="Cambria" w:cs="Calibri"/>
          <w:color w:val="000000" w:themeColor="text1"/>
          <w:sz w:val="24"/>
          <w:szCs w:val="24"/>
        </w:rPr>
        <w:t>rs (</w:t>
      </w:r>
      <w:r w:rsidR="00277992">
        <w:rPr>
          <w:rFonts w:ascii="Cambria" w:eastAsia="Calibri" w:hAnsi="Cambria" w:cs="Calibri"/>
          <w:color w:val="000000" w:themeColor="text1"/>
          <w:sz w:val="24"/>
          <w:szCs w:val="24"/>
        </w:rPr>
        <w:t>Regmi et al. 2023</w:t>
      </w:r>
      <w:r w:rsidRPr="6E2346AC">
        <w:rPr>
          <w:rFonts w:ascii="Cambria" w:eastAsia="Calibri" w:hAnsi="Cambria" w:cs="Calibri"/>
          <w:color w:val="000000" w:themeColor="text1"/>
          <w:sz w:val="24"/>
          <w:szCs w:val="24"/>
        </w:rPr>
        <w:t xml:space="preserve">). </w:t>
      </w:r>
      <w:bookmarkStart w:id="156" w:name="_Hlk167987353"/>
      <w:r w:rsidRPr="6E2346AC">
        <w:rPr>
          <w:rFonts w:ascii="Cambria" w:eastAsia="Calibri" w:hAnsi="Cambria" w:cs="Calibri"/>
          <w:color w:val="000000" w:themeColor="text1"/>
          <w:sz w:val="24"/>
          <w:szCs w:val="24"/>
        </w:rPr>
        <w:t xml:space="preserve">The present significant interactions between various CAs further highlights the complexity of this issue as the interactions revealed that the impact </w:t>
      </w:r>
      <w:r w:rsidRPr="6E2346AC">
        <w:rPr>
          <w:rFonts w:ascii="Cambria" w:eastAsia="Calibri" w:hAnsi="Cambria" w:cs="Calibri"/>
          <w:color w:val="000000" w:themeColor="text1"/>
          <w:sz w:val="24"/>
          <w:szCs w:val="24"/>
        </w:rPr>
        <w:lastRenderedPageBreak/>
        <w:t>goes beyond an additive effect of more CAs leading to more pain medication use. These results highlight how complex CA outcomes are in regard to adult pain, and how pain management and ultimately, pain prevention, needs to account for more trauma-informed approaches to care. Although our understanding of these associations remains obscured by complexities, the need for CA history or ACE screening to be implemented into pain treatment decisions, pain screening, and pain assessment as an important consideration remains warranted.</w:t>
      </w:r>
    </w:p>
    <w:p w14:paraId="2F19BE8D" w14:textId="77777777" w:rsidR="002B0F75" w:rsidRPr="002D1216" w:rsidRDefault="002B0F75" w:rsidP="002B0F75">
      <w:pPr>
        <w:spacing w:after="0" w:line="360" w:lineRule="auto"/>
        <w:rPr>
          <w:rFonts w:ascii="Cambria" w:eastAsia="Calibri" w:hAnsi="Cambria" w:cs="Calibri"/>
          <w:color w:val="000000"/>
          <w:sz w:val="24"/>
          <w:szCs w:val="24"/>
        </w:rPr>
      </w:pPr>
    </w:p>
    <w:bookmarkEnd w:id="156"/>
    <w:p w14:paraId="73BAE405" w14:textId="377D1CBF" w:rsidR="002D1216" w:rsidRDefault="002D1216" w:rsidP="00861CD3">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Further, a history of CAs should be considered in public health policies and decision-making and connect CAs more directly to interventional and preventative programs, including pain management and treatment algorithms. There remains an unmet need for research that better specifies the pathways through which CAs influence later health outcomes and pain medicine consumption, which could be explored more in future studies. In particular, CA or ACE-informed care should be implemented into pain management considerations such that CRP levels could be examined as part of this treatment selection and decision-making process. Overall, this study adds to the continuously developing body of research examining the lasting effects of CAs or childhood trauma exposure on health outcomes and adult </w:t>
      </w:r>
      <w:r w:rsidR="001809E3" w:rsidRPr="002D1216">
        <w:rPr>
          <w:rFonts w:ascii="Cambria" w:eastAsia="Calibri" w:hAnsi="Cambria" w:cs="Calibri"/>
          <w:color w:val="000000"/>
          <w:sz w:val="24"/>
          <w:szCs w:val="24"/>
        </w:rPr>
        <w:t>behaviours</w:t>
      </w:r>
      <w:r w:rsidRPr="002D1216">
        <w:rPr>
          <w:rFonts w:ascii="Cambria" w:eastAsia="Calibri" w:hAnsi="Cambria" w:cs="Calibri"/>
          <w:color w:val="000000"/>
          <w:sz w:val="24"/>
          <w:szCs w:val="24"/>
        </w:rPr>
        <w:t xml:space="preserve"> across the lifespan, and added some surprising insight into how socio-demographic variables may be involved and thus need to be more strongly considered as potentially contributing factors in both research and clinical settings. </w:t>
      </w:r>
    </w:p>
    <w:p w14:paraId="2CECFFA8" w14:textId="77777777" w:rsidR="002B0F75" w:rsidRPr="002D1216" w:rsidRDefault="002B0F75" w:rsidP="002B0F75">
      <w:pPr>
        <w:spacing w:after="0" w:line="360" w:lineRule="auto"/>
        <w:rPr>
          <w:rFonts w:ascii="Cambria" w:eastAsia="Calibri" w:hAnsi="Cambria" w:cs="Calibri"/>
          <w:color w:val="000000"/>
          <w:sz w:val="24"/>
          <w:szCs w:val="24"/>
        </w:rPr>
      </w:pPr>
    </w:p>
    <w:p w14:paraId="63CA78F8" w14:textId="22997B78" w:rsidR="002D1216" w:rsidRDefault="002D1216" w:rsidP="00861CD3">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Of note, across all analyses, the CA of neglect in some form (emotional or physical) was often significant, highlighting its importance in being more substantially acknowledged and screened for as a type of childhood trauma. While neglect is on the official ACEs list, there remains a paucity of research on the prevalence of neglect in general populations. In a meta-analysis by </w:t>
      </w:r>
      <w:proofErr w:type="spellStart"/>
      <w:r w:rsidRPr="002D1216">
        <w:rPr>
          <w:rFonts w:ascii="Cambria" w:eastAsia="Calibri" w:hAnsi="Cambria" w:cs="Calibri"/>
          <w:color w:val="000000"/>
          <w:sz w:val="24"/>
          <w:szCs w:val="24"/>
        </w:rPr>
        <w:t>Stoltenborgh</w:t>
      </w:r>
      <w:proofErr w:type="spellEnd"/>
      <w:r w:rsidRPr="002D1216">
        <w:rPr>
          <w:rFonts w:ascii="Cambria" w:eastAsia="Calibri" w:hAnsi="Cambria" w:cs="Calibri"/>
          <w:color w:val="000000"/>
          <w:sz w:val="24"/>
          <w:szCs w:val="24"/>
        </w:rPr>
        <w:t xml:space="preserve"> et al. (2013), only 13 studies about emotional neglect were identified, which is drastically low compared to other ACE domains such as childhood sexual abuse, which yielded over 200 publications. (</w:t>
      </w:r>
      <w:proofErr w:type="spellStart"/>
      <w:r w:rsidR="00277992" w:rsidRPr="00277992">
        <w:rPr>
          <w:rFonts w:ascii="Cambria" w:eastAsia="Calibri" w:hAnsi="Cambria" w:cs="Calibri"/>
          <w:color w:val="000000"/>
          <w:sz w:val="24"/>
          <w:szCs w:val="24"/>
        </w:rPr>
        <w:t>Stoltenborgh</w:t>
      </w:r>
      <w:proofErr w:type="spellEnd"/>
      <w:r w:rsidR="00277992" w:rsidRPr="00277992" w:rsidDel="00277992">
        <w:rPr>
          <w:rFonts w:ascii="Cambria" w:eastAsia="Calibri" w:hAnsi="Cambria" w:cs="Calibri"/>
          <w:color w:val="000000"/>
          <w:sz w:val="24"/>
          <w:szCs w:val="24"/>
        </w:rPr>
        <w:t xml:space="preserve"> </w:t>
      </w:r>
      <w:r w:rsidR="00277992">
        <w:rPr>
          <w:rFonts w:ascii="Cambria" w:eastAsia="Calibri" w:hAnsi="Cambria" w:cs="Calibri"/>
          <w:color w:val="000000"/>
          <w:sz w:val="24"/>
          <w:szCs w:val="24"/>
        </w:rPr>
        <w:t>et al. 2013</w:t>
      </w:r>
      <w:r w:rsidRPr="002D1216">
        <w:rPr>
          <w:rFonts w:ascii="Cambria" w:eastAsia="Calibri" w:hAnsi="Cambria" w:cs="Calibri"/>
          <w:color w:val="000000"/>
          <w:sz w:val="24"/>
          <w:szCs w:val="24"/>
        </w:rPr>
        <w:t xml:space="preserve">). Additionally, to date, there is no established questionnaire to measure emotional neglect consistently, which has likely influenced the lack of data on neglect prevalence overall, and past research has shown that a low number of overall suspected cases of child abuse or neglect are </w:t>
      </w:r>
      <w:r w:rsidRPr="002D1216">
        <w:rPr>
          <w:rFonts w:ascii="Cambria" w:eastAsia="Calibri" w:hAnsi="Cambria" w:cs="Calibri"/>
          <w:color w:val="000000"/>
          <w:sz w:val="24"/>
          <w:szCs w:val="24"/>
        </w:rPr>
        <w:lastRenderedPageBreak/>
        <w:t>actually reported by healthcare providers (</w:t>
      </w:r>
      <w:r w:rsidR="00277992">
        <w:rPr>
          <w:rFonts w:ascii="Cambria" w:eastAsia="Calibri" w:hAnsi="Cambria" w:cs="Calibri"/>
          <w:color w:val="000000"/>
          <w:sz w:val="24"/>
          <w:szCs w:val="24"/>
        </w:rPr>
        <w:t>Eads 2013</w:t>
      </w:r>
      <w:r w:rsidRPr="002D1216">
        <w:rPr>
          <w:rFonts w:ascii="Cambria" w:eastAsia="Calibri" w:hAnsi="Cambria" w:cs="Calibri"/>
          <w:color w:val="000000"/>
          <w:sz w:val="24"/>
          <w:szCs w:val="24"/>
        </w:rPr>
        <w:t xml:space="preserve">). Thus, </w:t>
      </w:r>
      <w:bookmarkStart w:id="157" w:name="_Hlk167898955"/>
      <w:r w:rsidRPr="002D1216">
        <w:rPr>
          <w:rFonts w:ascii="Cambria" w:eastAsia="Calibri" w:hAnsi="Cambria" w:cs="Calibri"/>
          <w:color w:val="000000"/>
          <w:sz w:val="24"/>
          <w:szCs w:val="24"/>
        </w:rPr>
        <w:t>the results of the present analyses may help to inform clinical efforts to better predict the potential burden of CAs on adult outcomes across the lifespan and offers insights into the assumptions that are currently held around the relationship between ACEs and anxiety, such as an increased number of ACEs previously being associated with likelihood of anxiety or depression (</w:t>
      </w:r>
      <w:r w:rsidR="00277992">
        <w:rPr>
          <w:rFonts w:ascii="Cambria" w:eastAsia="Calibri" w:hAnsi="Cambria" w:cs="Calibri"/>
          <w:color w:val="000000"/>
          <w:sz w:val="24"/>
          <w:szCs w:val="24"/>
        </w:rPr>
        <w:t>Elmore &amp; Crouch 2020</w:t>
      </w:r>
      <w:r w:rsidRPr="002D1216">
        <w:rPr>
          <w:rFonts w:ascii="Cambria" w:eastAsia="Calibri" w:hAnsi="Cambria" w:cs="Calibri"/>
          <w:color w:val="000000"/>
          <w:sz w:val="24"/>
          <w:szCs w:val="24"/>
        </w:rPr>
        <w:t>)</w:t>
      </w:r>
      <w:bookmarkEnd w:id="157"/>
      <w:r w:rsidR="002B0F75">
        <w:rPr>
          <w:rFonts w:ascii="Cambria" w:eastAsia="Calibri" w:hAnsi="Cambria" w:cs="Calibri"/>
          <w:color w:val="000000"/>
          <w:sz w:val="24"/>
          <w:szCs w:val="24"/>
        </w:rPr>
        <w:t>.</w:t>
      </w:r>
    </w:p>
    <w:p w14:paraId="18162C8A" w14:textId="77777777" w:rsidR="002B0F75" w:rsidRPr="002D1216" w:rsidRDefault="002B0F75" w:rsidP="002B0F75">
      <w:pPr>
        <w:spacing w:after="0" w:line="360" w:lineRule="auto"/>
        <w:rPr>
          <w:rFonts w:ascii="Cambria" w:eastAsia="Calibri" w:hAnsi="Cambria" w:cs="Calibri"/>
          <w:color w:val="000000"/>
          <w:sz w:val="24"/>
          <w:szCs w:val="24"/>
        </w:rPr>
      </w:pPr>
    </w:p>
    <w:p w14:paraId="698FA453" w14:textId="77777777" w:rsidR="002D1216" w:rsidRDefault="002D1216" w:rsidP="00861CD3">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t>Limitations</w:t>
      </w:r>
    </w:p>
    <w:p w14:paraId="0B0E737B" w14:textId="77777777" w:rsidR="002B0F75" w:rsidRPr="002D1216" w:rsidRDefault="002B0F75" w:rsidP="002B0F75">
      <w:pPr>
        <w:spacing w:after="0" w:line="360" w:lineRule="auto"/>
        <w:rPr>
          <w:rFonts w:ascii="Cambria" w:eastAsia="Calibri" w:hAnsi="Cambria" w:cs="Calibri"/>
          <w:b/>
          <w:bCs/>
          <w:i/>
          <w:iCs/>
          <w:color w:val="000000"/>
          <w:sz w:val="24"/>
          <w:szCs w:val="24"/>
        </w:rPr>
      </w:pPr>
    </w:p>
    <w:p w14:paraId="469FE303" w14:textId="75225FB7" w:rsidR="002D1216" w:rsidRDefault="179D8B01" w:rsidP="00861CD3">
      <w:pPr>
        <w:spacing w:after="0" w:line="360" w:lineRule="auto"/>
        <w:rPr>
          <w:rFonts w:ascii="Cambria" w:eastAsia="Calibri" w:hAnsi="Cambria" w:cs="Calibri"/>
          <w:color w:val="000000" w:themeColor="text1"/>
          <w:sz w:val="24"/>
          <w:szCs w:val="24"/>
        </w:rPr>
      </w:pPr>
      <w:r w:rsidRPr="1E06730D">
        <w:rPr>
          <w:rFonts w:ascii="Cambria" w:eastAsia="Calibri" w:hAnsi="Cambria" w:cs="Calibri"/>
          <w:color w:val="000000" w:themeColor="text1"/>
          <w:sz w:val="24"/>
          <w:szCs w:val="24"/>
        </w:rPr>
        <w:t xml:space="preserve">Although a dominant theme of the MIDUS biomarker project was to investigate protective or harmful roles that </w:t>
      </w:r>
      <w:r w:rsidR="001809E3" w:rsidRPr="1E06730D">
        <w:rPr>
          <w:rFonts w:ascii="Cambria" w:eastAsia="Calibri" w:hAnsi="Cambria" w:cs="Calibri"/>
          <w:color w:val="000000" w:themeColor="text1"/>
          <w:sz w:val="24"/>
          <w:szCs w:val="24"/>
        </w:rPr>
        <w:t>behavioural</w:t>
      </w:r>
      <w:r w:rsidRPr="1E06730D">
        <w:rPr>
          <w:rFonts w:ascii="Cambria" w:eastAsia="Calibri" w:hAnsi="Cambria" w:cs="Calibri"/>
          <w:color w:val="000000" w:themeColor="text1"/>
          <w:sz w:val="24"/>
          <w:szCs w:val="24"/>
        </w:rPr>
        <w:t xml:space="preserve"> and psychosocial factors may have in resilience and recovery from health challenges, the research was not targeted towards any specific diseases or conditions, given that psychosocial factors have relevance across multiple health endpoints. Additionally, even though the MIDUS sample was based on a probability sample, minorities and those with lower income levels and less educational attainment are underrepresented in the sample. However, this study offered value as a large, longitudinal US-based sample with consideration of multiple socio-demographic variables. While a variety of intersections between race, gender, class, and income may be associated with higher risks of fair or poor self-rated health, they are usually inconsistent (</w:t>
      </w:r>
      <w:r w:rsidR="00277992">
        <w:rPr>
          <w:rFonts w:ascii="Cambria" w:eastAsia="Calibri" w:hAnsi="Cambria" w:cs="Calibri"/>
          <w:color w:val="000000" w:themeColor="text1"/>
          <w:sz w:val="24"/>
          <w:szCs w:val="24"/>
        </w:rPr>
        <w:t>Veenstra 2011</w:t>
      </w:r>
      <w:r w:rsidRPr="1E06730D">
        <w:rPr>
          <w:rFonts w:ascii="Cambria" w:eastAsia="Calibri" w:hAnsi="Cambria" w:cs="Calibri"/>
          <w:color w:val="000000" w:themeColor="text1"/>
          <w:sz w:val="24"/>
          <w:szCs w:val="24"/>
        </w:rPr>
        <w:t xml:space="preserve">). Such interactions make firm conclusions difficult and were too broad for the scope of this </w:t>
      </w:r>
      <w:r w:rsidR="12194C1D" w:rsidRPr="1E06730D">
        <w:rPr>
          <w:rFonts w:ascii="Cambria" w:eastAsia="Calibri" w:hAnsi="Cambria" w:cs="Calibri"/>
          <w:color w:val="000000" w:themeColor="text1"/>
          <w:sz w:val="24"/>
          <w:szCs w:val="24"/>
        </w:rPr>
        <w:t>study but</w:t>
      </w:r>
      <w:r w:rsidRPr="1E06730D">
        <w:rPr>
          <w:rFonts w:ascii="Cambria" w:eastAsia="Calibri" w:hAnsi="Cambria" w:cs="Calibri"/>
          <w:color w:val="000000" w:themeColor="text1"/>
          <w:sz w:val="24"/>
          <w:szCs w:val="24"/>
        </w:rPr>
        <w:t xml:space="preserve"> should be considered in future research. </w:t>
      </w:r>
      <w:bookmarkStart w:id="158" w:name="_Hlk165727203"/>
    </w:p>
    <w:p w14:paraId="1D9F494B" w14:textId="77777777" w:rsidR="002B0F75" w:rsidRPr="002D1216" w:rsidRDefault="002B0F75" w:rsidP="002B0F75">
      <w:pPr>
        <w:spacing w:after="0" w:line="360" w:lineRule="auto"/>
        <w:rPr>
          <w:rFonts w:ascii="Cambria" w:eastAsia="Calibri" w:hAnsi="Cambria" w:cs="Calibri"/>
          <w:color w:val="000000"/>
          <w:sz w:val="24"/>
          <w:szCs w:val="24"/>
        </w:rPr>
      </w:pPr>
    </w:p>
    <w:bookmarkEnd w:id="158"/>
    <w:p w14:paraId="7ED4C247" w14:textId="77777777" w:rsidR="002D1216" w:rsidRDefault="002D1216" w:rsidP="00861CD3">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Conclusions</w:t>
      </w:r>
    </w:p>
    <w:p w14:paraId="4BCEE01F" w14:textId="77777777" w:rsidR="002B0F75" w:rsidRPr="002D1216" w:rsidRDefault="002B0F75" w:rsidP="002B0F75">
      <w:pPr>
        <w:spacing w:after="0" w:line="360" w:lineRule="auto"/>
        <w:rPr>
          <w:rFonts w:ascii="Cambria" w:eastAsia="Calibri" w:hAnsi="Cambria" w:cs="Calibri"/>
          <w:b/>
          <w:bCs/>
          <w:color w:val="000000"/>
          <w:sz w:val="24"/>
          <w:szCs w:val="24"/>
        </w:rPr>
      </w:pPr>
    </w:p>
    <w:p w14:paraId="0EED0D8E" w14:textId="0BF647DB" w:rsidR="002D1216" w:rsidRPr="002D1216" w:rsidRDefault="002D1216" w:rsidP="002B0F75">
      <w:pPr>
        <w:spacing w:after="0" w:line="360" w:lineRule="auto"/>
        <w:rPr>
          <w:rFonts w:ascii="Cambria" w:eastAsia="Calibri" w:hAnsi="Cambria" w:cs="Calibri"/>
          <w:b/>
          <w:bCs/>
          <w:color w:val="000000"/>
          <w:sz w:val="24"/>
          <w:szCs w:val="24"/>
        </w:rPr>
      </w:pPr>
      <w:bookmarkStart w:id="159" w:name="_Hlk167899027"/>
      <w:bookmarkEnd w:id="127"/>
      <w:r w:rsidRPr="002D1216">
        <w:rPr>
          <w:rFonts w:ascii="Cambria" w:eastAsia="Calibri" w:hAnsi="Cambria" w:cs="Calibri"/>
          <w:color w:val="000000"/>
          <w:sz w:val="24"/>
          <w:szCs w:val="24"/>
        </w:rPr>
        <w:t>Based on a large US sample of adults, the results showed that socio-demographic variables played a substantial role in predicting chronic pain experience in adults, with female gender, total income, and highest education all significant. Significant interactions for predicting chronic pain experience included CAs interacting with each other, CAs with income and education; and CRP with income and education levels. The influence of CAs on predicting long term medication use for chronic pain was complex</w:t>
      </w:r>
      <w:bookmarkEnd w:id="159"/>
      <w:r w:rsidRPr="002D1216">
        <w:rPr>
          <w:rFonts w:ascii="Cambria" w:eastAsia="Calibri" w:hAnsi="Cambria" w:cs="Calibri"/>
          <w:color w:val="000000"/>
          <w:sz w:val="24"/>
          <w:szCs w:val="24"/>
        </w:rPr>
        <w:t xml:space="preserve">, with significant interactions between a number of CAs, CRP with total household income and with highest </w:t>
      </w:r>
      <w:r w:rsidRPr="002D1216">
        <w:rPr>
          <w:rFonts w:ascii="Cambria" w:eastAsia="Calibri" w:hAnsi="Cambria" w:cs="Calibri"/>
          <w:color w:val="000000"/>
          <w:sz w:val="24"/>
          <w:szCs w:val="24"/>
        </w:rPr>
        <w:lastRenderedPageBreak/>
        <w:t xml:space="preserve">education, and a number of CAs and socio-demographics. </w:t>
      </w:r>
      <w:bookmarkStart w:id="160" w:name="_Hlk167301084"/>
      <w:r w:rsidRPr="002D1216">
        <w:rPr>
          <w:rFonts w:ascii="Cambria" w:eastAsia="Calibri" w:hAnsi="Cambria" w:cs="Calibri"/>
          <w:color w:val="000000"/>
          <w:sz w:val="24"/>
          <w:szCs w:val="24"/>
        </w:rPr>
        <w:t xml:space="preserve">Across all analyses, the CA of neglect in some form was significant, highlighting its importance in being acknowledged as a type of childhood trauma. </w:t>
      </w:r>
      <w:bookmarkEnd w:id="160"/>
      <w:r w:rsidRPr="002D1216">
        <w:rPr>
          <w:rFonts w:ascii="Cambria" w:eastAsia="Calibri" w:hAnsi="Cambria" w:cs="Calibri"/>
          <w:color w:val="000000"/>
          <w:sz w:val="24"/>
          <w:szCs w:val="24"/>
        </w:rPr>
        <w:t xml:space="preserve">Although the results warrant further study, these analyses may help to inform clinical efforts and improve screening practices to reduce the burden of CAs on adult outcomes across the lifespan. </w:t>
      </w:r>
      <w:r w:rsidRPr="002D1216">
        <w:rPr>
          <w:rFonts w:ascii="Cambria" w:eastAsia="Calibri" w:hAnsi="Cambria" w:cs="Calibri"/>
          <w:b/>
          <w:bCs/>
          <w:color w:val="000000"/>
          <w:sz w:val="24"/>
          <w:szCs w:val="24"/>
        </w:rPr>
        <w:br w:type="page"/>
      </w:r>
      <w:bookmarkStart w:id="161" w:name="_Hlk165738207"/>
      <w:bookmarkStart w:id="162" w:name="_Hlk155350749"/>
      <w:r w:rsidR="3AA971D1" w:rsidRPr="6E2346AC">
        <w:rPr>
          <w:rFonts w:ascii="Cambria" w:eastAsia="Calibri" w:hAnsi="Cambria" w:cs="Calibri"/>
          <w:b/>
          <w:bCs/>
          <w:color w:val="000000" w:themeColor="text1"/>
          <w:sz w:val="24"/>
          <w:szCs w:val="24"/>
        </w:rPr>
        <w:lastRenderedPageBreak/>
        <w:t xml:space="preserve">Chapter 4 </w:t>
      </w:r>
      <w:r w:rsidR="007B26A4">
        <w:rPr>
          <w:rFonts w:ascii="Cambria" w:eastAsia="Calibri" w:hAnsi="Cambria" w:cs="Calibri"/>
          <w:b/>
          <w:bCs/>
          <w:color w:val="000000" w:themeColor="text1"/>
          <w:sz w:val="24"/>
          <w:szCs w:val="24"/>
        </w:rPr>
        <w:t>R</w:t>
      </w:r>
      <w:r w:rsidR="179D8B01" w:rsidRPr="6E2346AC">
        <w:rPr>
          <w:rFonts w:ascii="Cambria" w:eastAsia="Calibri" w:hAnsi="Cambria" w:cs="Calibri"/>
          <w:b/>
          <w:bCs/>
          <w:color w:val="000000" w:themeColor="text1"/>
          <w:sz w:val="24"/>
          <w:szCs w:val="24"/>
        </w:rPr>
        <w:t>eferences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2"/>
        <w:gridCol w:w="218"/>
        <w:gridCol w:w="218"/>
        <w:gridCol w:w="218"/>
        <w:gridCol w:w="218"/>
        <w:gridCol w:w="218"/>
        <w:gridCol w:w="218"/>
      </w:tblGrid>
      <w:tr w:rsidR="006067ED" w:rsidRPr="006067ED" w14:paraId="12315C78" w14:textId="77777777" w:rsidTr="00BF4B86">
        <w:trPr>
          <w:trHeight w:val="290"/>
        </w:trPr>
        <w:tc>
          <w:tcPr>
            <w:tcW w:w="26144" w:type="dxa"/>
            <w:gridSpan w:val="7"/>
            <w:noWrap/>
            <w:hideMark/>
          </w:tcPr>
          <w:bookmarkEnd w:id="161"/>
          <w:p w14:paraId="42E97B7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Afari N, </w:t>
            </w:r>
            <w:proofErr w:type="spellStart"/>
            <w:r w:rsidRPr="00684AAB">
              <w:rPr>
                <w:rFonts w:ascii="Cambria" w:eastAsia="Calibri" w:hAnsi="Cambria" w:cs="Calibri"/>
                <w:color w:val="000000"/>
                <w:sz w:val="24"/>
                <w:szCs w:val="24"/>
                <w:lang w:val="en-US"/>
              </w:rPr>
              <w:t>Mostoufi</w:t>
            </w:r>
            <w:proofErr w:type="spellEnd"/>
            <w:r w:rsidRPr="00684AAB">
              <w:rPr>
                <w:rFonts w:ascii="Cambria" w:eastAsia="Calibri" w:hAnsi="Cambria" w:cs="Calibri"/>
                <w:color w:val="000000"/>
                <w:sz w:val="24"/>
                <w:szCs w:val="24"/>
                <w:lang w:val="en-US"/>
              </w:rPr>
              <w:t xml:space="preserve"> S, Noonan C, </w:t>
            </w:r>
            <w:proofErr w:type="spellStart"/>
            <w:r w:rsidRPr="00684AAB">
              <w:rPr>
                <w:rFonts w:ascii="Cambria" w:eastAsia="Calibri" w:hAnsi="Cambria" w:cs="Calibri"/>
                <w:color w:val="000000"/>
                <w:sz w:val="24"/>
                <w:szCs w:val="24"/>
                <w:lang w:val="en-US"/>
              </w:rPr>
              <w:t>Poeschla</w:t>
            </w:r>
            <w:proofErr w:type="spellEnd"/>
            <w:r w:rsidRPr="00684AAB">
              <w:rPr>
                <w:rFonts w:ascii="Cambria" w:eastAsia="Calibri" w:hAnsi="Cambria" w:cs="Calibri"/>
                <w:color w:val="000000"/>
                <w:sz w:val="24"/>
                <w:szCs w:val="24"/>
                <w:lang w:val="en-US"/>
              </w:rPr>
              <w:t xml:space="preserve"> B, Succop A, Chopko L, et al. C-reactive protein and pain sensitivity: findings from female twins. </w:t>
            </w:r>
            <w:r w:rsidRPr="00684AAB">
              <w:rPr>
                <w:rFonts w:ascii="Cambria" w:eastAsia="Calibri" w:hAnsi="Cambria" w:cs="Calibri"/>
                <w:i/>
                <w:iCs/>
                <w:color w:val="000000"/>
                <w:sz w:val="24"/>
                <w:szCs w:val="24"/>
                <w:lang w:val="en-US"/>
              </w:rPr>
              <w:t xml:space="preserve">Ann </w:t>
            </w:r>
            <w:proofErr w:type="spellStart"/>
            <w:r w:rsidRPr="00684AAB">
              <w:rPr>
                <w:rFonts w:ascii="Cambria" w:eastAsia="Calibri" w:hAnsi="Cambria" w:cs="Calibri"/>
                <w:i/>
                <w:iCs/>
                <w:color w:val="000000"/>
                <w:sz w:val="24"/>
                <w:szCs w:val="24"/>
                <w:lang w:val="en-US"/>
              </w:rPr>
              <w:t>Behav</w:t>
            </w:r>
            <w:proofErr w:type="spellEnd"/>
            <w:r w:rsidRPr="00684AAB">
              <w:rPr>
                <w:rFonts w:ascii="Cambria" w:eastAsia="Calibri" w:hAnsi="Cambria" w:cs="Calibri"/>
                <w:i/>
                <w:iCs/>
                <w:color w:val="000000"/>
                <w:sz w:val="24"/>
                <w:szCs w:val="24"/>
                <w:lang w:val="en-US"/>
              </w:rPr>
              <w:t xml:space="preserve"> Med</w:t>
            </w:r>
            <w:r w:rsidRPr="00684AAB">
              <w:rPr>
                <w:rFonts w:ascii="Cambria" w:eastAsia="Calibri" w:hAnsi="Cambria" w:cs="Calibri"/>
                <w:color w:val="000000"/>
                <w:sz w:val="24"/>
                <w:szCs w:val="24"/>
                <w:lang w:val="en-US"/>
              </w:rPr>
              <w:t xml:space="preserve">. 2011;42(2):277-83.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10.1007/s12160-011-9297-6, PMID 21785898.</w:t>
            </w:r>
          </w:p>
        </w:tc>
      </w:tr>
      <w:tr w:rsidR="006067ED" w:rsidRPr="006067ED" w14:paraId="629F9EE8" w14:textId="77777777" w:rsidTr="00BF4B86">
        <w:trPr>
          <w:trHeight w:val="290"/>
        </w:trPr>
        <w:tc>
          <w:tcPr>
            <w:tcW w:w="26144" w:type="dxa"/>
            <w:gridSpan w:val="7"/>
            <w:noWrap/>
            <w:hideMark/>
          </w:tcPr>
          <w:p w14:paraId="0AB526D6"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Anda, R. F., C.L. Whitfield, V.J. </w:t>
            </w:r>
            <w:proofErr w:type="spellStart"/>
            <w:r w:rsidRPr="00684AAB">
              <w:rPr>
                <w:rFonts w:ascii="Cambria" w:eastAsia="Calibri" w:hAnsi="Cambria" w:cs="Calibri"/>
                <w:color w:val="000000"/>
                <w:sz w:val="24"/>
                <w:szCs w:val="24"/>
                <w:lang w:val="en-US"/>
              </w:rPr>
              <w:t>Felitti</w:t>
            </w:r>
            <w:proofErr w:type="spellEnd"/>
            <w:r w:rsidRPr="00684AAB">
              <w:rPr>
                <w:rFonts w:ascii="Cambria" w:eastAsia="Calibri" w:hAnsi="Cambria" w:cs="Calibri"/>
                <w:color w:val="000000"/>
                <w:sz w:val="24"/>
                <w:szCs w:val="24"/>
                <w:lang w:val="en-US"/>
              </w:rPr>
              <w:t xml:space="preserve">, D. Chapman, V.J. Edwards, S.R. Dube, D.F. Williamson. Adverse childhood experiences, alcoholic parents, and later risk of alcoholism and depression </w:t>
            </w:r>
            <w:proofErr w:type="spellStart"/>
            <w:r w:rsidRPr="00684AAB">
              <w:rPr>
                <w:rFonts w:ascii="Cambria" w:eastAsia="Calibri" w:hAnsi="Cambria" w:cs="Calibri"/>
                <w:i/>
                <w:iCs/>
                <w:color w:val="000000"/>
                <w:sz w:val="24"/>
                <w:szCs w:val="24"/>
                <w:lang w:val="en-US"/>
              </w:rPr>
              <w:t>Psychiatr</w:t>
            </w:r>
            <w:proofErr w:type="spellEnd"/>
            <w:r w:rsidRPr="00684AAB">
              <w:rPr>
                <w:rFonts w:ascii="Cambria" w:eastAsia="Calibri" w:hAnsi="Cambria" w:cs="Calibri"/>
                <w:color w:val="000000"/>
                <w:sz w:val="24"/>
                <w:szCs w:val="24"/>
                <w:lang w:val="en-US"/>
              </w:rPr>
              <w:t>. Serv., 53; 2002, pp. 1001-1009</w:t>
            </w:r>
          </w:p>
        </w:tc>
      </w:tr>
      <w:tr w:rsidR="006067ED" w:rsidRPr="006067ED" w14:paraId="368002C9" w14:textId="77777777" w:rsidTr="00BF4B86">
        <w:trPr>
          <w:trHeight w:val="290"/>
        </w:trPr>
        <w:tc>
          <w:tcPr>
            <w:tcW w:w="26144" w:type="dxa"/>
            <w:gridSpan w:val="7"/>
            <w:noWrap/>
            <w:hideMark/>
          </w:tcPr>
          <w:p w14:paraId="20A008D8"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Baron RM, Kenny DA. The moderator-mediator variable distinction in social psychological research: conceptual, strategic, and statistical considerations. </w:t>
            </w:r>
            <w:r w:rsidRPr="00684AAB">
              <w:rPr>
                <w:rFonts w:ascii="Cambria" w:eastAsia="Calibri" w:hAnsi="Cambria" w:cs="Calibri"/>
                <w:i/>
                <w:iCs/>
                <w:color w:val="000000"/>
                <w:sz w:val="24"/>
                <w:szCs w:val="24"/>
                <w:lang w:val="en-US"/>
              </w:rPr>
              <w:t>J Pers Soc Psychol.</w:t>
            </w:r>
            <w:r w:rsidRPr="00684AAB">
              <w:rPr>
                <w:rFonts w:ascii="Cambria" w:eastAsia="Calibri" w:hAnsi="Cambria" w:cs="Calibri"/>
                <w:color w:val="000000"/>
                <w:sz w:val="24"/>
                <w:szCs w:val="24"/>
                <w:lang w:val="en-US"/>
              </w:rPr>
              <w:t xml:space="preserve"> 1986;51(6):1173-82.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10.1037//0022-3514.51.6.1173, PMID 3806354.</w:t>
            </w:r>
          </w:p>
        </w:tc>
      </w:tr>
      <w:tr w:rsidR="006067ED" w:rsidRPr="006067ED" w14:paraId="41952541" w14:textId="77777777" w:rsidTr="00BF4B86">
        <w:trPr>
          <w:trHeight w:val="290"/>
        </w:trPr>
        <w:tc>
          <w:tcPr>
            <w:tcW w:w="26005" w:type="dxa"/>
            <w:gridSpan w:val="6"/>
            <w:noWrap/>
            <w:hideMark/>
          </w:tcPr>
          <w:p w14:paraId="67F7BB53"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Beran TN, </w:t>
            </w:r>
            <w:proofErr w:type="spellStart"/>
            <w:r w:rsidRPr="00684AAB">
              <w:rPr>
                <w:rFonts w:ascii="Cambria" w:eastAsia="Calibri" w:hAnsi="Cambria" w:cs="Calibri"/>
                <w:color w:val="000000"/>
                <w:sz w:val="24"/>
                <w:szCs w:val="24"/>
                <w:lang w:val="en-US"/>
              </w:rPr>
              <w:t>Violato</w:t>
            </w:r>
            <w:proofErr w:type="spellEnd"/>
            <w:r w:rsidRPr="00684AAB">
              <w:rPr>
                <w:rFonts w:ascii="Cambria" w:eastAsia="Calibri" w:hAnsi="Cambria" w:cs="Calibri"/>
                <w:color w:val="000000"/>
                <w:sz w:val="24"/>
                <w:szCs w:val="24"/>
                <w:lang w:val="en-US"/>
              </w:rPr>
              <w:t xml:space="preserve"> C. Structural equation modeling in medical research: a primer. </w:t>
            </w:r>
            <w:r w:rsidRPr="00684AAB">
              <w:rPr>
                <w:rFonts w:ascii="Cambria" w:eastAsia="Calibri" w:hAnsi="Cambria" w:cs="Calibri"/>
                <w:i/>
                <w:iCs/>
                <w:color w:val="000000"/>
                <w:sz w:val="24"/>
                <w:szCs w:val="24"/>
                <w:lang w:val="en-US"/>
              </w:rPr>
              <w:t>BMC Res Notes</w:t>
            </w:r>
            <w:r w:rsidRPr="00684AAB">
              <w:rPr>
                <w:rFonts w:ascii="Cambria" w:eastAsia="Calibri" w:hAnsi="Cambria" w:cs="Calibri"/>
                <w:color w:val="000000"/>
                <w:sz w:val="24"/>
                <w:szCs w:val="24"/>
                <w:lang w:val="en-US"/>
              </w:rPr>
              <w:t xml:space="preserve">. </w:t>
            </w:r>
            <w:proofErr w:type="gramStart"/>
            <w:r w:rsidRPr="00684AAB">
              <w:rPr>
                <w:rFonts w:ascii="Cambria" w:eastAsia="Calibri" w:hAnsi="Cambria" w:cs="Calibri"/>
                <w:color w:val="000000"/>
                <w:sz w:val="24"/>
                <w:szCs w:val="24"/>
                <w:lang w:val="en-US"/>
              </w:rPr>
              <w:t>2010;3:267</w:t>
            </w:r>
            <w:proofErr w:type="gramEnd"/>
            <w:r w:rsidRPr="00684AAB">
              <w:rPr>
                <w:rFonts w:ascii="Cambria" w:eastAsia="Calibri" w:hAnsi="Cambria" w:cs="Calibri"/>
                <w:color w:val="000000"/>
                <w:sz w:val="24"/>
                <w:szCs w:val="24"/>
                <w:lang w:val="en-US"/>
              </w:rPr>
              <w:t xml:space="preserve">.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10.1186/1756-0500-3-267, PMID 20969789.</w:t>
            </w:r>
          </w:p>
        </w:tc>
        <w:tc>
          <w:tcPr>
            <w:tcW w:w="139" w:type="dxa"/>
            <w:noWrap/>
            <w:hideMark/>
          </w:tcPr>
          <w:p w14:paraId="25DA44FB"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0102E902" w14:textId="77777777" w:rsidTr="00BF4B86">
        <w:trPr>
          <w:trHeight w:val="290"/>
        </w:trPr>
        <w:tc>
          <w:tcPr>
            <w:tcW w:w="26144" w:type="dxa"/>
            <w:gridSpan w:val="7"/>
            <w:noWrap/>
            <w:hideMark/>
          </w:tcPr>
          <w:p w14:paraId="11C300D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Bernstein DP, Stein JA, Newcomb MD, Walker E, Pogge D, </w:t>
            </w:r>
            <w:proofErr w:type="spellStart"/>
            <w:r w:rsidRPr="00684AAB">
              <w:rPr>
                <w:rFonts w:ascii="Cambria" w:eastAsia="Calibri" w:hAnsi="Cambria" w:cs="Calibri"/>
                <w:color w:val="000000"/>
                <w:sz w:val="24"/>
                <w:szCs w:val="24"/>
                <w:lang w:val="en-US"/>
              </w:rPr>
              <w:t>Ahluvalia</w:t>
            </w:r>
            <w:proofErr w:type="spellEnd"/>
            <w:r w:rsidRPr="00684AAB">
              <w:rPr>
                <w:rFonts w:ascii="Cambria" w:eastAsia="Calibri" w:hAnsi="Cambria" w:cs="Calibri"/>
                <w:color w:val="000000"/>
                <w:sz w:val="24"/>
                <w:szCs w:val="24"/>
                <w:lang w:val="en-US"/>
              </w:rPr>
              <w:t xml:space="preserve"> T, et al. Development and validation of a brief screening version of the Childhood Trauma Questionnaire. </w:t>
            </w:r>
            <w:r w:rsidRPr="00684AAB">
              <w:rPr>
                <w:rFonts w:ascii="Cambria" w:eastAsia="Calibri" w:hAnsi="Cambria" w:cs="Calibri"/>
                <w:i/>
                <w:iCs/>
                <w:color w:val="000000"/>
                <w:sz w:val="24"/>
                <w:szCs w:val="24"/>
                <w:lang w:val="en-US"/>
              </w:rPr>
              <w:t xml:space="preserve">Child Abuse </w:t>
            </w:r>
            <w:proofErr w:type="spellStart"/>
            <w:r w:rsidRPr="00684AAB">
              <w:rPr>
                <w:rFonts w:ascii="Cambria" w:eastAsia="Calibri" w:hAnsi="Cambria" w:cs="Calibri"/>
                <w:i/>
                <w:iCs/>
                <w:color w:val="000000"/>
                <w:sz w:val="24"/>
                <w:szCs w:val="24"/>
                <w:lang w:val="en-US"/>
              </w:rPr>
              <w:t>Negl</w:t>
            </w:r>
            <w:proofErr w:type="spellEnd"/>
            <w:r w:rsidRPr="00684AAB">
              <w:rPr>
                <w:rFonts w:ascii="Cambria" w:eastAsia="Calibri" w:hAnsi="Cambria" w:cs="Calibri"/>
                <w:color w:val="000000"/>
                <w:sz w:val="24"/>
                <w:szCs w:val="24"/>
                <w:lang w:val="en-US"/>
              </w:rPr>
              <w:t xml:space="preserve">. 2003;27(2):169-90.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10.1016/s0145-2134(02)00541-0. PMID 12615092.</w:t>
            </w:r>
          </w:p>
        </w:tc>
      </w:tr>
      <w:tr w:rsidR="006067ED" w:rsidRPr="006067ED" w14:paraId="24CB1130" w14:textId="77777777" w:rsidTr="00BF4B86">
        <w:trPr>
          <w:trHeight w:val="290"/>
        </w:trPr>
        <w:tc>
          <w:tcPr>
            <w:tcW w:w="26144" w:type="dxa"/>
            <w:gridSpan w:val="7"/>
            <w:noWrap/>
            <w:hideMark/>
          </w:tcPr>
          <w:p w14:paraId="67B1A31A" w14:textId="1339041E"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sz w:val="24"/>
                <w:szCs w:val="24"/>
                <w:lang w:val="en-US"/>
              </w:rPr>
              <w:t>Brim OG, Baltes PB, Bumpass LL, Cleary PD, Featherman DL, Hazzard WR, et al. Midlife in the United States (MIDUS 1). Inter-university Consortium for Political and Social Research [distributor]; 1995-1996 [cited 2020-9-28]. Available from: https://doi.org/10.3886/ICPSR02760. v19.</w:t>
            </w:r>
          </w:p>
        </w:tc>
      </w:tr>
      <w:tr w:rsidR="006067ED" w:rsidRPr="006067ED" w14:paraId="64F11C26" w14:textId="77777777" w:rsidTr="00BF4B86">
        <w:trPr>
          <w:trHeight w:val="290"/>
        </w:trPr>
        <w:tc>
          <w:tcPr>
            <w:tcW w:w="26144" w:type="dxa"/>
            <w:gridSpan w:val="7"/>
            <w:noWrap/>
            <w:hideMark/>
          </w:tcPr>
          <w:p w14:paraId="1D5F1D3B"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roofErr w:type="spellStart"/>
            <w:r w:rsidRPr="00684AAB">
              <w:rPr>
                <w:rFonts w:ascii="Cambria" w:eastAsia="Calibri" w:hAnsi="Cambria" w:cs="Calibri"/>
                <w:color w:val="000000"/>
                <w:sz w:val="24"/>
                <w:szCs w:val="24"/>
                <w:lang w:val="en-US"/>
              </w:rPr>
              <w:t>Bussières</w:t>
            </w:r>
            <w:proofErr w:type="spellEnd"/>
            <w:r w:rsidRPr="00684AAB">
              <w:rPr>
                <w:rFonts w:ascii="Cambria" w:eastAsia="Calibri" w:hAnsi="Cambria" w:cs="Calibri"/>
                <w:color w:val="000000"/>
                <w:sz w:val="24"/>
                <w:szCs w:val="24"/>
                <w:lang w:val="en-US"/>
              </w:rPr>
              <w:t xml:space="preserve"> A, Hartvigsen J, Ferreira ML, Ferreira PH, Hancock MJ, Stone LS et al. Adverse childhood experience and adult persistent pain and disability: protocol for a systematic review and meta-analysis. </w:t>
            </w:r>
            <w:r w:rsidRPr="00684AAB">
              <w:rPr>
                <w:rFonts w:ascii="Cambria" w:eastAsia="Calibri" w:hAnsi="Cambria" w:cs="Calibri"/>
                <w:i/>
                <w:iCs/>
                <w:color w:val="000000"/>
                <w:sz w:val="24"/>
                <w:szCs w:val="24"/>
                <w:lang w:val="en-US"/>
              </w:rPr>
              <w:t>Syst Rev</w:t>
            </w:r>
            <w:r w:rsidRPr="00684AAB">
              <w:rPr>
                <w:rFonts w:ascii="Cambria" w:eastAsia="Calibri" w:hAnsi="Cambria" w:cs="Calibri"/>
                <w:color w:val="000000"/>
                <w:sz w:val="24"/>
                <w:szCs w:val="24"/>
                <w:lang w:val="en-US"/>
              </w:rPr>
              <w:t xml:space="preserve">. 2020;9(1):215.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10.1186/s13643-020-01474-8, PMID 32943108.</w:t>
            </w:r>
          </w:p>
        </w:tc>
      </w:tr>
      <w:tr w:rsidR="006067ED" w:rsidRPr="006067ED" w14:paraId="5CE8B3C9" w14:textId="77777777" w:rsidTr="00BF4B86">
        <w:trPr>
          <w:trHeight w:val="290"/>
        </w:trPr>
        <w:tc>
          <w:tcPr>
            <w:tcW w:w="26144" w:type="dxa"/>
            <w:gridSpan w:val="7"/>
            <w:noWrap/>
            <w:hideMark/>
          </w:tcPr>
          <w:p w14:paraId="10D1D518"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Centers for Disease Control and Prevention (CDC). Adverse childhood experiences (ACEs); 2022. Available from: https://www.cdc.gov/violenceprevention/aces/index.html.</w:t>
            </w:r>
          </w:p>
        </w:tc>
      </w:tr>
      <w:tr w:rsidR="006067ED" w:rsidRPr="006067ED" w14:paraId="52D2DF14" w14:textId="77777777" w:rsidTr="00BF4B86">
        <w:trPr>
          <w:trHeight w:val="290"/>
        </w:trPr>
        <w:tc>
          <w:tcPr>
            <w:tcW w:w="25305" w:type="dxa"/>
            <w:noWrap/>
            <w:hideMark/>
          </w:tcPr>
          <w:p w14:paraId="66461D74"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lastRenderedPageBreak/>
              <w:t>CRP data reported by Tracy Lab. University of Vermont; August 20, 2009.</w:t>
            </w:r>
          </w:p>
        </w:tc>
        <w:tc>
          <w:tcPr>
            <w:tcW w:w="144" w:type="dxa"/>
            <w:noWrap/>
            <w:hideMark/>
          </w:tcPr>
          <w:p w14:paraId="2AE4D983"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28793F6C"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4E82DAFD"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0D18041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6D609FB8"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2EDC41BE"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61CF62E2" w14:textId="77777777" w:rsidTr="00BF4B86">
        <w:trPr>
          <w:trHeight w:val="290"/>
        </w:trPr>
        <w:tc>
          <w:tcPr>
            <w:tcW w:w="26144" w:type="dxa"/>
            <w:gridSpan w:val="7"/>
            <w:noWrap/>
            <w:hideMark/>
          </w:tcPr>
          <w:p w14:paraId="7EC4DFEC"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Dube, S. R., V.J. </w:t>
            </w:r>
            <w:proofErr w:type="spellStart"/>
            <w:r w:rsidRPr="00684AAB">
              <w:rPr>
                <w:rFonts w:ascii="Cambria" w:eastAsia="Calibri" w:hAnsi="Cambria" w:cs="Calibri"/>
                <w:color w:val="000000"/>
                <w:sz w:val="24"/>
                <w:szCs w:val="24"/>
                <w:lang w:val="en-US"/>
              </w:rPr>
              <w:t>Felitti</w:t>
            </w:r>
            <w:proofErr w:type="spellEnd"/>
            <w:r w:rsidRPr="00684AAB">
              <w:rPr>
                <w:rFonts w:ascii="Cambria" w:eastAsia="Calibri" w:hAnsi="Cambria" w:cs="Calibri"/>
                <w:color w:val="000000"/>
                <w:sz w:val="24"/>
                <w:szCs w:val="24"/>
                <w:lang w:val="en-US"/>
              </w:rPr>
              <w:t xml:space="preserve">, M. Dong, D.P. Chapman, W.H. Giles, R.F. Anda. Childhood abuse, neglect, and household dysfunction and the risk of illicit drug use: the adverse childhood experiences study. </w:t>
            </w:r>
            <w:r w:rsidRPr="00684AAB">
              <w:rPr>
                <w:rFonts w:ascii="Cambria" w:eastAsia="Calibri" w:hAnsi="Cambria" w:cs="Calibri"/>
                <w:i/>
                <w:iCs/>
                <w:color w:val="000000"/>
                <w:sz w:val="24"/>
                <w:szCs w:val="24"/>
                <w:lang w:val="en-US"/>
              </w:rPr>
              <w:t>Pediatrics,</w:t>
            </w:r>
            <w:r w:rsidRPr="00684AAB">
              <w:rPr>
                <w:rFonts w:ascii="Cambria" w:eastAsia="Calibri" w:hAnsi="Cambria" w:cs="Calibri"/>
                <w:color w:val="000000"/>
                <w:sz w:val="24"/>
                <w:szCs w:val="24"/>
                <w:lang w:val="en-US"/>
              </w:rPr>
              <w:t xml:space="preserve"> 111; 2003, pp. 564-572.</w:t>
            </w:r>
          </w:p>
        </w:tc>
      </w:tr>
      <w:tr w:rsidR="006067ED" w:rsidRPr="006067ED" w14:paraId="72727A56" w14:textId="77777777" w:rsidTr="00BF4B86">
        <w:trPr>
          <w:trHeight w:val="290"/>
        </w:trPr>
        <w:tc>
          <w:tcPr>
            <w:tcW w:w="26144" w:type="dxa"/>
            <w:gridSpan w:val="7"/>
            <w:noWrap/>
            <w:hideMark/>
          </w:tcPr>
          <w:p w14:paraId="6C116592"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Eads, K. Breaking Silence: Underreported Child Abuse in the Healthcare Setting.</w:t>
            </w:r>
            <w:r w:rsidRPr="00684AAB">
              <w:rPr>
                <w:rFonts w:ascii="Cambria" w:eastAsia="Calibri" w:hAnsi="Cambria" w:cs="Calibri"/>
                <w:i/>
                <w:iCs/>
                <w:color w:val="000000"/>
                <w:sz w:val="24"/>
                <w:szCs w:val="24"/>
                <w:lang w:val="en-US"/>
              </w:rPr>
              <w:t xml:space="preserve"> Journal of Health Ethics</w:t>
            </w:r>
            <w:r w:rsidRPr="00684AAB">
              <w:rPr>
                <w:rFonts w:ascii="Cambria" w:eastAsia="Calibri" w:hAnsi="Cambria" w:cs="Calibri"/>
                <w:color w:val="000000"/>
                <w:sz w:val="24"/>
                <w:szCs w:val="24"/>
                <w:lang w:val="en-US"/>
              </w:rPr>
              <w:t>, 2013; 9(1). http://dx.doi.org/10.18785/ojhe.0901.01.</w:t>
            </w:r>
          </w:p>
        </w:tc>
      </w:tr>
      <w:tr w:rsidR="006067ED" w:rsidRPr="006067ED" w14:paraId="30453282" w14:textId="77777777" w:rsidTr="00BF4B86">
        <w:trPr>
          <w:trHeight w:val="290"/>
        </w:trPr>
        <w:tc>
          <w:tcPr>
            <w:tcW w:w="26144" w:type="dxa"/>
            <w:gridSpan w:val="7"/>
            <w:noWrap/>
            <w:hideMark/>
          </w:tcPr>
          <w:p w14:paraId="2CCC2F74"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Elliot AJ, Turiano NA, Infurna FJ, Lachman ME, Chapman BP. Lifetime trauma, perceived control, and all-cause mortality: results from the Midlife in the United States Study. </w:t>
            </w:r>
            <w:r w:rsidRPr="00684AAB">
              <w:rPr>
                <w:rFonts w:ascii="Cambria" w:eastAsia="Calibri" w:hAnsi="Cambria" w:cs="Calibri"/>
                <w:i/>
                <w:iCs/>
                <w:color w:val="000000"/>
                <w:sz w:val="24"/>
                <w:szCs w:val="24"/>
                <w:lang w:val="en-US"/>
              </w:rPr>
              <w:t>Health Psychol</w:t>
            </w:r>
            <w:r w:rsidRPr="00684AAB">
              <w:rPr>
                <w:rFonts w:ascii="Cambria" w:eastAsia="Calibri" w:hAnsi="Cambria" w:cs="Calibri"/>
                <w:color w:val="000000"/>
                <w:sz w:val="24"/>
                <w:szCs w:val="24"/>
                <w:lang w:val="en-US"/>
              </w:rPr>
              <w:t xml:space="preserve">. 2018;37(3):262-70.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10.1037/hea0000585, PMID 29369676.</w:t>
            </w:r>
          </w:p>
        </w:tc>
      </w:tr>
      <w:tr w:rsidR="006067ED" w:rsidRPr="006067ED" w14:paraId="0B4EB080" w14:textId="77777777" w:rsidTr="00BF4B86">
        <w:trPr>
          <w:trHeight w:val="290"/>
        </w:trPr>
        <w:tc>
          <w:tcPr>
            <w:tcW w:w="26144" w:type="dxa"/>
            <w:gridSpan w:val="7"/>
            <w:noWrap/>
            <w:hideMark/>
          </w:tcPr>
          <w:p w14:paraId="69AF75FF"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Elmore AL, Crouch E. The Association of Adverse Childhood Experiences </w:t>
            </w:r>
            <w:proofErr w:type="gramStart"/>
            <w:r w:rsidRPr="00684AAB">
              <w:rPr>
                <w:rFonts w:ascii="Cambria" w:eastAsia="Calibri" w:hAnsi="Cambria" w:cs="Calibri"/>
                <w:color w:val="000000"/>
                <w:sz w:val="24"/>
                <w:szCs w:val="24"/>
                <w:lang w:val="en-US"/>
              </w:rPr>
              <w:t>With</w:t>
            </w:r>
            <w:proofErr w:type="gramEnd"/>
            <w:r w:rsidRPr="00684AAB">
              <w:rPr>
                <w:rFonts w:ascii="Cambria" w:eastAsia="Calibri" w:hAnsi="Cambria" w:cs="Calibri"/>
                <w:color w:val="000000"/>
                <w:sz w:val="24"/>
                <w:szCs w:val="24"/>
                <w:lang w:val="en-US"/>
              </w:rPr>
              <w:t xml:space="preserve"> Anxiety and Depression for Children and Youth, 8 to 17 Years of Age. </w:t>
            </w:r>
            <w:proofErr w:type="spellStart"/>
            <w:r w:rsidRPr="00684AAB">
              <w:rPr>
                <w:rFonts w:ascii="Cambria" w:eastAsia="Calibri" w:hAnsi="Cambria" w:cs="Calibri"/>
                <w:i/>
                <w:iCs/>
                <w:color w:val="000000"/>
                <w:sz w:val="24"/>
                <w:szCs w:val="24"/>
                <w:lang w:val="en-US"/>
              </w:rPr>
              <w:t>Acad</w:t>
            </w:r>
            <w:proofErr w:type="spellEnd"/>
            <w:r w:rsidRPr="00684AAB">
              <w:rPr>
                <w:rFonts w:ascii="Cambria" w:eastAsia="Calibri" w:hAnsi="Cambria" w:cs="Calibri"/>
                <w:i/>
                <w:iCs/>
                <w:color w:val="000000"/>
                <w:sz w:val="24"/>
                <w:szCs w:val="24"/>
                <w:lang w:val="en-US"/>
              </w:rPr>
              <w:t xml:space="preserve"> </w:t>
            </w:r>
            <w:proofErr w:type="spellStart"/>
            <w:r w:rsidRPr="00684AAB">
              <w:rPr>
                <w:rFonts w:ascii="Cambria" w:eastAsia="Calibri" w:hAnsi="Cambria" w:cs="Calibri"/>
                <w:i/>
                <w:iCs/>
                <w:color w:val="000000"/>
                <w:sz w:val="24"/>
                <w:szCs w:val="24"/>
                <w:lang w:val="en-US"/>
              </w:rPr>
              <w:t>Pediatr</w:t>
            </w:r>
            <w:proofErr w:type="spellEnd"/>
            <w:r w:rsidRPr="00684AAB">
              <w:rPr>
                <w:rFonts w:ascii="Cambria" w:eastAsia="Calibri" w:hAnsi="Cambria" w:cs="Calibri"/>
                <w:i/>
                <w:iCs/>
                <w:color w:val="000000"/>
                <w:sz w:val="24"/>
                <w:szCs w:val="24"/>
                <w:lang w:val="en-US"/>
              </w:rPr>
              <w:t>.</w:t>
            </w:r>
            <w:r w:rsidRPr="00684AAB">
              <w:rPr>
                <w:rFonts w:ascii="Cambria" w:eastAsia="Calibri" w:hAnsi="Cambria" w:cs="Calibri"/>
                <w:color w:val="000000"/>
                <w:sz w:val="24"/>
                <w:szCs w:val="24"/>
                <w:lang w:val="en-US"/>
              </w:rPr>
              <w:t xml:space="preserve"> 2020 Jul;20(5):600-608.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10.1016/j.acap.2020.02.012.</w:t>
            </w:r>
          </w:p>
        </w:tc>
      </w:tr>
      <w:tr w:rsidR="006067ED" w:rsidRPr="006067ED" w14:paraId="78402DF4" w14:textId="77777777" w:rsidTr="00BF4B86">
        <w:trPr>
          <w:trHeight w:val="290"/>
        </w:trPr>
        <w:tc>
          <w:tcPr>
            <w:tcW w:w="26005" w:type="dxa"/>
            <w:gridSpan w:val="6"/>
            <w:noWrap/>
            <w:hideMark/>
          </w:tcPr>
          <w:p w14:paraId="79D11665" w14:textId="07073A91" w:rsidR="006067ED" w:rsidRDefault="006067ED" w:rsidP="006067ED">
            <w:pPr>
              <w:spacing w:line="360" w:lineRule="auto"/>
              <w:rPr>
                <w:rFonts w:ascii="Cambria" w:eastAsia="Times New Roman" w:hAnsi="Cambria" w:cs="Calibri"/>
                <w:sz w:val="24"/>
                <w:szCs w:val="24"/>
                <w:lang w:val="en-US"/>
              </w:rPr>
            </w:pPr>
            <w:proofErr w:type="spellStart"/>
            <w:r w:rsidRPr="00684AAB">
              <w:rPr>
                <w:rFonts w:ascii="Cambria" w:eastAsia="Times New Roman" w:hAnsi="Cambria" w:cs="Calibri"/>
                <w:sz w:val="24"/>
                <w:szCs w:val="24"/>
                <w:lang w:val="en-US"/>
              </w:rPr>
              <w:t>Felitti</w:t>
            </w:r>
            <w:proofErr w:type="spellEnd"/>
            <w:r w:rsidRPr="00684AAB">
              <w:rPr>
                <w:rFonts w:ascii="Cambria" w:eastAsia="Times New Roman" w:hAnsi="Cambria" w:cs="Calibri"/>
                <w:sz w:val="24"/>
                <w:szCs w:val="24"/>
                <w:lang w:val="en-US"/>
              </w:rPr>
              <w:t xml:space="preserve"> VJ, Anda RF, Nordenberg D, Williamson DF, Spitz AM, Edwards V, et al. Relationship of childhood abuse and household dysfunction to many of the leading causes of death in adults. The adverse childhood experiences (ACE) Study. </w:t>
            </w:r>
            <w:r w:rsidRPr="00684AAB">
              <w:rPr>
                <w:rFonts w:ascii="Cambria" w:eastAsia="Times New Roman" w:hAnsi="Cambria" w:cs="Calibri"/>
                <w:i/>
                <w:iCs/>
                <w:sz w:val="24"/>
                <w:szCs w:val="24"/>
                <w:lang w:val="en-US"/>
              </w:rPr>
              <w:t>Am J Prev Med</w:t>
            </w:r>
            <w:r w:rsidRPr="00684AAB">
              <w:rPr>
                <w:rFonts w:ascii="Cambria" w:eastAsia="Times New Roman" w:hAnsi="Cambria" w:cs="Calibri"/>
                <w:sz w:val="24"/>
                <w:szCs w:val="24"/>
                <w:lang w:val="en-US"/>
              </w:rPr>
              <w:t xml:space="preserve">. 1998;14(4):245-58. </w:t>
            </w:r>
            <w:proofErr w:type="spellStart"/>
            <w:r w:rsidRPr="00684AAB">
              <w:rPr>
                <w:rFonts w:ascii="Cambria" w:eastAsia="Times New Roman" w:hAnsi="Cambria" w:cs="Calibri"/>
                <w:sz w:val="24"/>
                <w:szCs w:val="24"/>
                <w:lang w:val="en-US"/>
              </w:rPr>
              <w:t>doi</w:t>
            </w:r>
            <w:proofErr w:type="spellEnd"/>
            <w:r w:rsidRPr="00684AAB">
              <w:rPr>
                <w:rFonts w:ascii="Cambria" w:eastAsia="Times New Roman" w:hAnsi="Cambria" w:cs="Calibri"/>
                <w:sz w:val="24"/>
                <w:szCs w:val="24"/>
                <w:lang w:val="en-US"/>
              </w:rPr>
              <w:t xml:space="preserve">: </w:t>
            </w:r>
            <w:r w:rsidRPr="00684AAB">
              <w:rPr>
                <w:rFonts w:ascii="Cambria" w:eastAsia="Times New Roman" w:hAnsi="Cambria" w:cs="Calibri"/>
                <w:color w:val="000000"/>
                <w:sz w:val="24"/>
                <w:szCs w:val="24"/>
                <w:lang w:val="en-US"/>
              </w:rPr>
              <w:t>10.1016/s0749-3797(98)00017-8</w:t>
            </w:r>
            <w:r w:rsidRPr="00684AAB">
              <w:rPr>
                <w:rFonts w:ascii="Cambria" w:eastAsia="Times New Roman" w:hAnsi="Cambria" w:cs="Calibri"/>
                <w:sz w:val="24"/>
                <w:szCs w:val="24"/>
                <w:lang w:val="en-US"/>
              </w:rPr>
              <w:t xml:space="preserve">, PMID </w:t>
            </w:r>
            <w:r w:rsidRPr="00684AAB">
              <w:rPr>
                <w:rFonts w:ascii="Cambria" w:eastAsia="Times New Roman" w:hAnsi="Cambria" w:cs="Calibri"/>
                <w:color w:val="000000"/>
                <w:sz w:val="24"/>
                <w:szCs w:val="24"/>
                <w:lang w:val="en-US"/>
              </w:rPr>
              <w:t>9635069</w:t>
            </w:r>
            <w:r w:rsidRPr="00684AAB">
              <w:rPr>
                <w:rFonts w:ascii="Cambria" w:eastAsia="Times New Roman" w:hAnsi="Cambria" w:cs="Calibri"/>
                <w:sz w:val="24"/>
                <w:szCs w:val="24"/>
                <w:lang w:val="en-US"/>
              </w:rPr>
              <w:t>.</w:t>
            </w:r>
          </w:p>
          <w:p w14:paraId="68221DB0" w14:textId="77777777" w:rsidR="006067ED" w:rsidRPr="00684AAB" w:rsidRDefault="006067ED" w:rsidP="00684AAB">
            <w:pPr>
              <w:spacing w:line="360" w:lineRule="auto"/>
              <w:rPr>
                <w:rFonts w:ascii="Cambria" w:eastAsia="Times New Roman" w:hAnsi="Cambria" w:cs="Calibri"/>
                <w:sz w:val="24"/>
                <w:szCs w:val="24"/>
                <w:lang w:val="en-US"/>
              </w:rPr>
            </w:pPr>
          </w:p>
          <w:p w14:paraId="655516ED"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hyperlink r:id="rId127" w:tgtFrame="_blank" w:history="1">
              <w:r w:rsidRPr="00684AAB">
                <w:rPr>
                  <w:rFonts w:ascii="Cambria" w:eastAsia="Calibri" w:hAnsi="Cambria" w:cs="Calibri"/>
                  <w:sz w:val="24"/>
                  <w:szCs w:val="24"/>
                  <w:lang w:val="en-US"/>
                </w:rPr>
                <w:t>Graham JM. The General Linear Model as structural equation modeling.</w:t>
              </w:r>
              <w:r w:rsidRPr="00684AAB">
                <w:rPr>
                  <w:rFonts w:ascii="Cambria" w:eastAsia="Calibri" w:hAnsi="Cambria" w:cs="Calibri"/>
                  <w:i/>
                  <w:iCs/>
                  <w:sz w:val="24"/>
                  <w:szCs w:val="24"/>
                  <w:lang w:val="en-US"/>
                </w:rPr>
                <w:t xml:space="preserve"> J Educ </w:t>
              </w:r>
              <w:proofErr w:type="spellStart"/>
              <w:r w:rsidRPr="00684AAB">
                <w:rPr>
                  <w:rFonts w:ascii="Cambria" w:eastAsia="Calibri" w:hAnsi="Cambria" w:cs="Calibri"/>
                  <w:i/>
                  <w:iCs/>
                  <w:sz w:val="24"/>
                  <w:szCs w:val="24"/>
                  <w:lang w:val="en-US"/>
                </w:rPr>
                <w:t>Behav</w:t>
              </w:r>
              <w:proofErr w:type="spellEnd"/>
              <w:r w:rsidRPr="00684AAB">
                <w:rPr>
                  <w:rFonts w:ascii="Cambria" w:eastAsia="Calibri" w:hAnsi="Cambria" w:cs="Calibri"/>
                  <w:i/>
                  <w:iCs/>
                  <w:sz w:val="24"/>
                  <w:szCs w:val="24"/>
                  <w:lang w:val="en-US"/>
                </w:rPr>
                <w:t xml:space="preserve"> Stat</w:t>
              </w:r>
              <w:r w:rsidRPr="00684AAB">
                <w:rPr>
                  <w:rFonts w:ascii="Cambria" w:eastAsia="Calibri" w:hAnsi="Cambria" w:cs="Calibri"/>
                  <w:sz w:val="24"/>
                  <w:szCs w:val="24"/>
                  <w:lang w:val="en-US"/>
                </w:rPr>
                <w:t xml:space="preserve">. 2008;33(4):485-506. </w:t>
              </w:r>
              <w:proofErr w:type="spellStart"/>
              <w:r w:rsidRPr="00684AAB">
                <w:rPr>
                  <w:rFonts w:ascii="Cambria" w:eastAsia="Calibri" w:hAnsi="Cambria" w:cs="Calibri"/>
                  <w:sz w:val="24"/>
                  <w:szCs w:val="24"/>
                  <w:lang w:val="en-US"/>
                </w:rPr>
                <w:t>doi</w:t>
              </w:r>
              <w:proofErr w:type="spellEnd"/>
              <w:r w:rsidRPr="00684AAB">
                <w:rPr>
                  <w:rFonts w:ascii="Cambria" w:eastAsia="Calibri" w:hAnsi="Cambria" w:cs="Calibri"/>
                  <w:sz w:val="24"/>
                  <w:szCs w:val="24"/>
                  <w:lang w:val="en-US"/>
                </w:rPr>
                <w:t>: 10.3102/1076998607306151.</w:t>
              </w:r>
            </w:hyperlink>
          </w:p>
        </w:tc>
        <w:tc>
          <w:tcPr>
            <w:tcW w:w="139" w:type="dxa"/>
            <w:noWrap/>
            <w:hideMark/>
          </w:tcPr>
          <w:p w14:paraId="0C5D7438"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u w:val="single"/>
                <w:lang w:val="en-US"/>
              </w:rPr>
            </w:pPr>
          </w:p>
        </w:tc>
      </w:tr>
      <w:tr w:rsidR="006067ED" w:rsidRPr="006067ED" w14:paraId="3739090F" w14:textId="77777777" w:rsidTr="00BF4B86">
        <w:trPr>
          <w:trHeight w:val="290"/>
        </w:trPr>
        <w:tc>
          <w:tcPr>
            <w:tcW w:w="26144" w:type="dxa"/>
            <w:gridSpan w:val="7"/>
            <w:noWrap/>
            <w:hideMark/>
          </w:tcPr>
          <w:p w14:paraId="512FF0E3"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hyperlink r:id="rId128" w:tgtFrame="_blank" w:history="1">
              <w:r w:rsidRPr="00684AAB">
                <w:rPr>
                  <w:rFonts w:ascii="Cambria" w:eastAsia="Calibri" w:hAnsi="Cambria" w:cs="Calibri"/>
                  <w:sz w:val="24"/>
                  <w:szCs w:val="24"/>
                  <w:lang w:val="en-US"/>
                </w:rPr>
                <w:t xml:space="preserve">Hopwood CJ. Moderation and mediation in structural equation modeling: applications for early intervention research. </w:t>
              </w:r>
              <w:r w:rsidRPr="00684AAB">
                <w:rPr>
                  <w:rFonts w:ascii="Cambria" w:eastAsia="Calibri" w:hAnsi="Cambria" w:cs="Calibri"/>
                  <w:i/>
                  <w:iCs/>
                  <w:sz w:val="24"/>
                  <w:szCs w:val="24"/>
                  <w:lang w:val="en-US"/>
                </w:rPr>
                <w:t xml:space="preserve">J Early </w:t>
              </w:r>
              <w:proofErr w:type="spellStart"/>
              <w:r w:rsidRPr="00684AAB">
                <w:rPr>
                  <w:rFonts w:ascii="Cambria" w:eastAsia="Calibri" w:hAnsi="Cambria" w:cs="Calibri"/>
                  <w:i/>
                  <w:iCs/>
                  <w:sz w:val="24"/>
                  <w:szCs w:val="24"/>
                  <w:lang w:val="en-US"/>
                </w:rPr>
                <w:t>Interv</w:t>
              </w:r>
              <w:proofErr w:type="spellEnd"/>
              <w:r w:rsidRPr="00684AAB">
                <w:rPr>
                  <w:rFonts w:ascii="Cambria" w:eastAsia="Calibri" w:hAnsi="Cambria" w:cs="Calibri"/>
                  <w:sz w:val="24"/>
                  <w:szCs w:val="24"/>
                  <w:lang w:val="en-US"/>
                </w:rPr>
                <w:t xml:space="preserve">. 2007;29(3):262-72. </w:t>
              </w:r>
              <w:proofErr w:type="spellStart"/>
              <w:r w:rsidRPr="00684AAB">
                <w:rPr>
                  <w:rFonts w:ascii="Cambria" w:eastAsia="Calibri" w:hAnsi="Cambria" w:cs="Calibri"/>
                  <w:sz w:val="24"/>
                  <w:szCs w:val="24"/>
                  <w:lang w:val="en-US"/>
                </w:rPr>
                <w:t>doi</w:t>
              </w:r>
              <w:proofErr w:type="spellEnd"/>
              <w:r w:rsidRPr="00684AAB">
                <w:rPr>
                  <w:rFonts w:ascii="Cambria" w:eastAsia="Calibri" w:hAnsi="Cambria" w:cs="Calibri"/>
                  <w:sz w:val="24"/>
                  <w:szCs w:val="24"/>
                  <w:lang w:val="en-US"/>
                </w:rPr>
                <w:t>: 10.1177/105381510702900305.</w:t>
              </w:r>
            </w:hyperlink>
          </w:p>
        </w:tc>
      </w:tr>
      <w:tr w:rsidR="006067ED" w:rsidRPr="006067ED" w14:paraId="5C2169C5" w14:textId="77777777" w:rsidTr="00BF4B86">
        <w:trPr>
          <w:trHeight w:val="290"/>
        </w:trPr>
        <w:tc>
          <w:tcPr>
            <w:tcW w:w="26144" w:type="dxa"/>
            <w:gridSpan w:val="7"/>
            <w:noWrap/>
            <w:hideMark/>
          </w:tcPr>
          <w:p w14:paraId="221D611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Hughes K, Bellis MA, Hardcastle KA, Sethi D, Butchart A, </w:t>
            </w:r>
            <w:proofErr w:type="spellStart"/>
            <w:r w:rsidRPr="00684AAB">
              <w:rPr>
                <w:rFonts w:ascii="Cambria" w:eastAsia="Calibri" w:hAnsi="Cambria" w:cs="Calibri"/>
                <w:color w:val="000000"/>
                <w:sz w:val="24"/>
                <w:szCs w:val="24"/>
                <w:lang w:val="en-US"/>
              </w:rPr>
              <w:t>Mikton</w:t>
            </w:r>
            <w:proofErr w:type="spellEnd"/>
            <w:r w:rsidRPr="00684AAB">
              <w:rPr>
                <w:rFonts w:ascii="Cambria" w:eastAsia="Calibri" w:hAnsi="Cambria" w:cs="Calibri"/>
                <w:color w:val="000000"/>
                <w:sz w:val="24"/>
                <w:szCs w:val="24"/>
                <w:lang w:val="en-US"/>
              </w:rPr>
              <w:t xml:space="preserve"> C, et al. The effect of multiple adverse childhood experiences on health: a systematic review and meta-analysis. </w:t>
            </w:r>
            <w:r w:rsidRPr="00684AAB">
              <w:rPr>
                <w:rFonts w:ascii="Cambria" w:eastAsia="Calibri" w:hAnsi="Cambria" w:cs="Calibri"/>
                <w:i/>
                <w:iCs/>
                <w:color w:val="000000"/>
                <w:sz w:val="24"/>
                <w:szCs w:val="24"/>
                <w:lang w:val="en-US"/>
              </w:rPr>
              <w:t>Lancet Public Health</w:t>
            </w:r>
            <w:r w:rsidRPr="00684AAB">
              <w:rPr>
                <w:rFonts w:ascii="Cambria" w:eastAsia="Calibri" w:hAnsi="Cambria" w:cs="Calibri"/>
                <w:color w:val="000000"/>
                <w:sz w:val="24"/>
                <w:szCs w:val="24"/>
                <w:lang w:val="en-US"/>
              </w:rPr>
              <w:t>. 2017;2(8</w:t>
            </w:r>
            <w:proofErr w:type="gramStart"/>
            <w:r w:rsidRPr="00684AAB">
              <w:rPr>
                <w:rFonts w:ascii="Cambria" w:eastAsia="Calibri" w:hAnsi="Cambria" w:cs="Calibri"/>
                <w:color w:val="000000"/>
                <w:sz w:val="24"/>
                <w:szCs w:val="24"/>
                <w:lang w:val="en-US"/>
              </w:rPr>
              <w:t>):e</w:t>
            </w:r>
            <w:proofErr w:type="gramEnd"/>
            <w:r w:rsidRPr="00684AAB">
              <w:rPr>
                <w:rFonts w:ascii="Cambria" w:eastAsia="Calibri" w:hAnsi="Cambria" w:cs="Calibri"/>
                <w:color w:val="000000"/>
                <w:sz w:val="24"/>
                <w:szCs w:val="24"/>
                <w:lang w:val="en-US"/>
              </w:rPr>
              <w:t xml:space="preserve">356-66.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10.1016/S2468-2667(17)30118-4, PMID 29253477.</w:t>
            </w:r>
          </w:p>
        </w:tc>
      </w:tr>
      <w:tr w:rsidR="006067ED" w:rsidRPr="006067ED" w14:paraId="1EBD2FC4" w14:textId="77777777" w:rsidTr="00BF4B86">
        <w:trPr>
          <w:trHeight w:val="290"/>
        </w:trPr>
        <w:tc>
          <w:tcPr>
            <w:tcW w:w="26005" w:type="dxa"/>
            <w:gridSpan w:val="6"/>
            <w:noWrap/>
            <w:hideMark/>
          </w:tcPr>
          <w:p w14:paraId="08E384EF"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lastRenderedPageBreak/>
              <w:t>Ke-Hai Y, Bentler PM. ’Robust procedures in structural equation modeling.’ Handbook of latent variable and related models. North-Holland; 2007. p. 367-97.</w:t>
            </w:r>
          </w:p>
        </w:tc>
        <w:tc>
          <w:tcPr>
            <w:tcW w:w="139" w:type="dxa"/>
            <w:noWrap/>
            <w:hideMark/>
          </w:tcPr>
          <w:p w14:paraId="1B6F7A8D"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1BBF2331" w14:textId="77777777" w:rsidTr="00BF4B86">
        <w:trPr>
          <w:trHeight w:val="290"/>
        </w:trPr>
        <w:tc>
          <w:tcPr>
            <w:tcW w:w="26144" w:type="dxa"/>
            <w:gridSpan w:val="7"/>
            <w:noWrap/>
            <w:hideMark/>
          </w:tcPr>
          <w:p w14:paraId="5ADE430D"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King AR. Childhood adversity links to self-reported mood, anxiety, and stress-related disorders. </w:t>
            </w:r>
            <w:r w:rsidRPr="00684AAB">
              <w:rPr>
                <w:rFonts w:ascii="Cambria" w:eastAsia="Calibri" w:hAnsi="Cambria" w:cs="Calibri"/>
                <w:i/>
                <w:iCs/>
                <w:color w:val="000000"/>
                <w:sz w:val="24"/>
                <w:szCs w:val="24"/>
                <w:lang w:val="en-US"/>
              </w:rPr>
              <w:t xml:space="preserve">J Affect </w:t>
            </w:r>
            <w:proofErr w:type="spellStart"/>
            <w:r w:rsidRPr="00684AAB">
              <w:rPr>
                <w:rFonts w:ascii="Cambria" w:eastAsia="Calibri" w:hAnsi="Cambria" w:cs="Calibri"/>
                <w:i/>
                <w:iCs/>
                <w:color w:val="000000"/>
                <w:sz w:val="24"/>
                <w:szCs w:val="24"/>
                <w:lang w:val="en-US"/>
              </w:rPr>
              <w:t>Disord</w:t>
            </w:r>
            <w:proofErr w:type="spellEnd"/>
            <w:r w:rsidRPr="00684AAB">
              <w:rPr>
                <w:rFonts w:ascii="Cambria" w:eastAsia="Calibri" w:hAnsi="Cambria" w:cs="Calibri"/>
                <w:color w:val="000000"/>
                <w:sz w:val="24"/>
                <w:szCs w:val="24"/>
                <w:lang w:val="en-US"/>
              </w:rPr>
              <w:t xml:space="preserve">. 2021 Sep </w:t>
            </w:r>
            <w:proofErr w:type="gramStart"/>
            <w:r w:rsidRPr="00684AAB">
              <w:rPr>
                <w:rFonts w:ascii="Cambria" w:eastAsia="Calibri" w:hAnsi="Cambria" w:cs="Calibri"/>
                <w:color w:val="000000"/>
                <w:sz w:val="24"/>
                <w:szCs w:val="24"/>
                <w:lang w:val="en-US"/>
              </w:rPr>
              <w:t>1;292:623</w:t>
            </w:r>
            <w:proofErr w:type="gramEnd"/>
            <w:r w:rsidRPr="00684AAB">
              <w:rPr>
                <w:rFonts w:ascii="Cambria" w:eastAsia="Calibri" w:hAnsi="Cambria" w:cs="Calibri"/>
                <w:color w:val="000000"/>
                <w:sz w:val="24"/>
                <w:szCs w:val="24"/>
                <w:lang w:val="en-US"/>
              </w:rPr>
              <w:t xml:space="preserve">-632.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10.1016/j.jad.2021.05.112.</w:t>
            </w:r>
          </w:p>
        </w:tc>
      </w:tr>
      <w:tr w:rsidR="006067ED" w:rsidRPr="006067ED" w14:paraId="6D38B77B" w14:textId="77777777" w:rsidTr="00BF4B86">
        <w:trPr>
          <w:trHeight w:val="290"/>
        </w:trPr>
        <w:tc>
          <w:tcPr>
            <w:tcW w:w="26144" w:type="dxa"/>
            <w:gridSpan w:val="7"/>
            <w:noWrap/>
            <w:hideMark/>
          </w:tcPr>
          <w:p w14:paraId="0EB5BDA2"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Medrano, M. A., J.P. Hatch, W.A. Zule, D.P. Desmond (2002). Psychological distress in childhood trauma survivors who abuse drugs. </w:t>
            </w:r>
            <w:r w:rsidRPr="00684AAB">
              <w:rPr>
                <w:rFonts w:ascii="Cambria" w:eastAsia="Calibri" w:hAnsi="Cambria" w:cs="Calibri"/>
                <w:i/>
                <w:iCs/>
                <w:color w:val="000000"/>
                <w:sz w:val="24"/>
                <w:szCs w:val="24"/>
                <w:lang w:val="en-US"/>
              </w:rPr>
              <w:t>Am. J. Drug Alcohol Abuse</w:t>
            </w:r>
            <w:r w:rsidRPr="00684AAB">
              <w:rPr>
                <w:rFonts w:ascii="Cambria" w:eastAsia="Calibri" w:hAnsi="Cambria" w:cs="Calibri"/>
                <w:color w:val="000000"/>
                <w:sz w:val="24"/>
                <w:szCs w:val="24"/>
                <w:lang w:val="en-US"/>
              </w:rPr>
              <w:t>, 28, 2002; pp. 1-13.</w:t>
            </w:r>
          </w:p>
        </w:tc>
      </w:tr>
      <w:tr w:rsidR="006067ED" w:rsidRPr="006067ED" w14:paraId="478B127D" w14:textId="77777777" w:rsidTr="00BF4B86">
        <w:trPr>
          <w:trHeight w:val="290"/>
        </w:trPr>
        <w:tc>
          <w:tcPr>
            <w:tcW w:w="26144" w:type="dxa"/>
            <w:gridSpan w:val="7"/>
            <w:noWrap/>
            <w:hideMark/>
          </w:tcPr>
          <w:p w14:paraId="33E3DC66"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Merrick MT, Ford DC, </w:t>
            </w:r>
            <w:proofErr w:type="spellStart"/>
            <w:r w:rsidRPr="00684AAB">
              <w:rPr>
                <w:rFonts w:ascii="Cambria" w:eastAsia="Calibri" w:hAnsi="Cambria" w:cs="Calibri"/>
                <w:color w:val="000000"/>
                <w:sz w:val="24"/>
                <w:szCs w:val="24"/>
                <w:lang w:val="en-US"/>
              </w:rPr>
              <w:t>Haegerich</w:t>
            </w:r>
            <w:proofErr w:type="spellEnd"/>
            <w:r w:rsidRPr="00684AAB">
              <w:rPr>
                <w:rFonts w:ascii="Cambria" w:eastAsia="Calibri" w:hAnsi="Cambria" w:cs="Calibri"/>
                <w:color w:val="000000"/>
                <w:sz w:val="24"/>
                <w:szCs w:val="24"/>
                <w:lang w:val="en-US"/>
              </w:rPr>
              <w:t xml:space="preserve"> TM, Simon T. Adverse childhood experiences increase risk for prescription opioid misuse. </w:t>
            </w:r>
            <w:r w:rsidRPr="00684AAB">
              <w:rPr>
                <w:rFonts w:ascii="Cambria" w:eastAsia="Calibri" w:hAnsi="Cambria" w:cs="Calibri"/>
                <w:i/>
                <w:iCs/>
                <w:color w:val="000000"/>
                <w:sz w:val="24"/>
                <w:szCs w:val="24"/>
                <w:lang w:val="en-US"/>
              </w:rPr>
              <w:t>J Prim Prev</w:t>
            </w:r>
            <w:r w:rsidRPr="00684AAB">
              <w:rPr>
                <w:rFonts w:ascii="Cambria" w:eastAsia="Calibri" w:hAnsi="Cambria" w:cs="Calibri"/>
                <w:color w:val="000000"/>
                <w:sz w:val="24"/>
                <w:szCs w:val="24"/>
                <w:lang w:val="en-US"/>
              </w:rPr>
              <w:t xml:space="preserve">. 2020;41(2):139-52.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10.1007/s10935-020-00578-0, PMID 31989435.</w:t>
            </w:r>
          </w:p>
        </w:tc>
      </w:tr>
      <w:tr w:rsidR="006067ED" w:rsidRPr="006067ED" w14:paraId="6F112A6D" w14:textId="77777777" w:rsidTr="00BF4B86">
        <w:trPr>
          <w:trHeight w:val="290"/>
        </w:trPr>
        <w:tc>
          <w:tcPr>
            <w:tcW w:w="26144" w:type="dxa"/>
            <w:gridSpan w:val="7"/>
            <w:noWrap/>
            <w:hideMark/>
          </w:tcPr>
          <w:p w14:paraId="3D5132A8"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Morris P, Ali K, Merritt M, Pelletier J, Macedo LG. A systematic review of the role of inflammatory biomarkers in acute, subacute and chronic non-specific low back pain. </w:t>
            </w:r>
            <w:r w:rsidRPr="00684AAB">
              <w:rPr>
                <w:rFonts w:ascii="Cambria" w:eastAsia="Calibri" w:hAnsi="Cambria" w:cs="Calibri"/>
                <w:i/>
                <w:iCs/>
                <w:color w:val="000000"/>
                <w:sz w:val="24"/>
                <w:szCs w:val="24"/>
                <w:lang w:val="en-US"/>
              </w:rPr>
              <w:t xml:space="preserve">BMC </w:t>
            </w:r>
            <w:proofErr w:type="spellStart"/>
            <w:r w:rsidRPr="00684AAB">
              <w:rPr>
                <w:rFonts w:ascii="Cambria" w:eastAsia="Calibri" w:hAnsi="Cambria" w:cs="Calibri"/>
                <w:i/>
                <w:iCs/>
                <w:color w:val="000000"/>
                <w:sz w:val="24"/>
                <w:szCs w:val="24"/>
                <w:lang w:val="en-US"/>
              </w:rPr>
              <w:t>Musculoskelet</w:t>
            </w:r>
            <w:proofErr w:type="spellEnd"/>
            <w:r w:rsidRPr="00684AAB">
              <w:rPr>
                <w:rFonts w:ascii="Cambria" w:eastAsia="Calibri" w:hAnsi="Cambria" w:cs="Calibri"/>
                <w:i/>
                <w:iCs/>
                <w:color w:val="000000"/>
                <w:sz w:val="24"/>
                <w:szCs w:val="24"/>
                <w:lang w:val="en-US"/>
              </w:rPr>
              <w:t xml:space="preserve"> </w:t>
            </w:r>
            <w:proofErr w:type="spellStart"/>
            <w:r w:rsidRPr="00684AAB">
              <w:rPr>
                <w:rFonts w:ascii="Cambria" w:eastAsia="Calibri" w:hAnsi="Cambria" w:cs="Calibri"/>
                <w:i/>
                <w:iCs/>
                <w:color w:val="000000"/>
                <w:sz w:val="24"/>
                <w:szCs w:val="24"/>
                <w:lang w:val="en-US"/>
              </w:rPr>
              <w:t>Disord</w:t>
            </w:r>
            <w:proofErr w:type="spellEnd"/>
            <w:r w:rsidRPr="00684AAB">
              <w:rPr>
                <w:rFonts w:ascii="Cambria" w:eastAsia="Calibri" w:hAnsi="Cambria" w:cs="Calibri"/>
                <w:color w:val="000000"/>
                <w:sz w:val="24"/>
                <w:szCs w:val="24"/>
                <w:lang w:val="en-US"/>
              </w:rPr>
              <w:t xml:space="preserve">. 2020;21(1):142.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10.1186/s12891-020-3154-3, PMID 32126991.</w:t>
            </w:r>
          </w:p>
        </w:tc>
      </w:tr>
      <w:tr w:rsidR="006067ED" w:rsidRPr="006067ED" w14:paraId="2F7F53CF" w14:textId="77777777" w:rsidTr="00BF4B86">
        <w:trPr>
          <w:trHeight w:val="290"/>
        </w:trPr>
        <w:tc>
          <w:tcPr>
            <w:tcW w:w="25449" w:type="dxa"/>
            <w:gridSpan w:val="2"/>
            <w:noWrap/>
            <w:hideMark/>
          </w:tcPr>
          <w:p w14:paraId="009577CF"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MSD product insert (PI). Vascular Injury Panel 2 (human) Kits: V-Plex, August 2014.</w:t>
            </w:r>
          </w:p>
        </w:tc>
        <w:tc>
          <w:tcPr>
            <w:tcW w:w="139" w:type="dxa"/>
            <w:noWrap/>
            <w:hideMark/>
          </w:tcPr>
          <w:p w14:paraId="0121FC5F"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0FDB7686"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715E9F85"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561AA2A5"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56DE76C5"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35E738D7" w14:textId="77777777" w:rsidTr="00BF4B86">
        <w:trPr>
          <w:trHeight w:val="290"/>
        </w:trPr>
        <w:tc>
          <w:tcPr>
            <w:tcW w:w="26144" w:type="dxa"/>
            <w:gridSpan w:val="7"/>
            <w:noWrap/>
            <w:hideMark/>
          </w:tcPr>
          <w:p w14:paraId="42BF09C9"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Muniz Carvalho C, Wendt FR, </w:t>
            </w:r>
            <w:proofErr w:type="spellStart"/>
            <w:r w:rsidRPr="00684AAB">
              <w:rPr>
                <w:rFonts w:ascii="Cambria" w:eastAsia="Calibri" w:hAnsi="Cambria" w:cs="Calibri"/>
                <w:color w:val="000000"/>
                <w:sz w:val="24"/>
                <w:szCs w:val="24"/>
                <w:lang w:val="en-US"/>
              </w:rPr>
              <w:t>Maihofer</w:t>
            </w:r>
            <w:proofErr w:type="spellEnd"/>
            <w:r w:rsidRPr="00684AAB">
              <w:rPr>
                <w:rFonts w:ascii="Cambria" w:eastAsia="Calibri" w:hAnsi="Cambria" w:cs="Calibri"/>
                <w:color w:val="000000"/>
                <w:sz w:val="24"/>
                <w:szCs w:val="24"/>
                <w:lang w:val="en-US"/>
              </w:rPr>
              <w:t xml:space="preserve"> AX, Stein DJ, Stein MB, Sumner JA, et al. Dissecting the genetic association of C-reactive protein with PTSD, traumatic events, and social support. </w:t>
            </w:r>
            <w:r w:rsidRPr="00684AAB">
              <w:rPr>
                <w:rFonts w:ascii="Cambria" w:eastAsia="Calibri" w:hAnsi="Cambria" w:cs="Calibri"/>
                <w:i/>
                <w:iCs/>
                <w:color w:val="000000"/>
                <w:sz w:val="24"/>
                <w:szCs w:val="24"/>
                <w:lang w:val="en-US"/>
              </w:rPr>
              <w:t>Neuropsychopharmacology</w:t>
            </w:r>
            <w:r w:rsidRPr="00684AAB">
              <w:rPr>
                <w:rFonts w:ascii="Cambria" w:eastAsia="Calibri" w:hAnsi="Cambria" w:cs="Calibri"/>
                <w:color w:val="000000"/>
                <w:sz w:val="24"/>
                <w:szCs w:val="24"/>
                <w:lang w:val="en-US"/>
              </w:rPr>
              <w:t xml:space="preserve">. 2021;46(6):1071-7.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10.1038/s41386-020-0655-6, PMID 32179874.</w:t>
            </w:r>
          </w:p>
        </w:tc>
      </w:tr>
      <w:tr w:rsidR="006067ED" w:rsidRPr="006067ED" w14:paraId="4CFC64AF" w14:textId="77777777" w:rsidTr="00BF4B86">
        <w:trPr>
          <w:trHeight w:val="290"/>
        </w:trPr>
        <w:tc>
          <w:tcPr>
            <w:tcW w:w="25588" w:type="dxa"/>
            <w:gridSpan w:val="3"/>
            <w:noWrap/>
            <w:hideMark/>
          </w:tcPr>
          <w:p w14:paraId="027C5B43"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Nehring SM, Goyal A, Patel BC. C reactive protein. </w:t>
            </w:r>
            <w:proofErr w:type="spellStart"/>
            <w:r w:rsidRPr="00684AAB">
              <w:rPr>
                <w:rFonts w:ascii="Cambria" w:eastAsia="Calibri" w:hAnsi="Cambria" w:cs="Calibri"/>
                <w:color w:val="000000"/>
                <w:sz w:val="24"/>
                <w:szCs w:val="24"/>
                <w:lang w:val="en-US"/>
              </w:rPr>
              <w:t>StatPearls</w:t>
            </w:r>
            <w:proofErr w:type="spellEnd"/>
            <w:r w:rsidRPr="00684AAB">
              <w:rPr>
                <w:rFonts w:ascii="Cambria" w:eastAsia="Calibri" w:hAnsi="Cambria" w:cs="Calibri"/>
                <w:color w:val="000000"/>
                <w:sz w:val="24"/>
                <w:szCs w:val="24"/>
                <w:lang w:val="en-US"/>
              </w:rPr>
              <w:t xml:space="preserve"> [Internet]. Updated 2023 July 10:2024 Jan-.</w:t>
            </w:r>
          </w:p>
        </w:tc>
        <w:tc>
          <w:tcPr>
            <w:tcW w:w="139" w:type="dxa"/>
            <w:noWrap/>
            <w:hideMark/>
          </w:tcPr>
          <w:p w14:paraId="77C5D3EE"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7B60535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39690C97"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0E14BF52"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16ABE4FD" w14:textId="77777777" w:rsidTr="00BF4B86">
        <w:trPr>
          <w:trHeight w:val="290"/>
        </w:trPr>
        <w:tc>
          <w:tcPr>
            <w:tcW w:w="25866" w:type="dxa"/>
            <w:gridSpan w:val="5"/>
            <w:noWrap/>
            <w:hideMark/>
          </w:tcPr>
          <w:p w14:paraId="09AF7AC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Nemeroff CB. Paradise Lost: The Neurobiological and Clinical Consequences of Child Abuse and Neglect. </w:t>
            </w:r>
            <w:r w:rsidRPr="00684AAB">
              <w:rPr>
                <w:rFonts w:ascii="Cambria" w:eastAsia="Calibri" w:hAnsi="Cambria" w:cs="Calibri"/>
                <w:i/>
                <w:iCs/>
                <w:color w:val="000000"/>
                <w:sz w:val="24"/>
                <w:szCs w:val="24"/>
                <w:lang w:val="en-US"/>
              </w:rPr>
              <w:t>Neuron</w:t>
            </w:r>
            <w:r w:rsidRPr="00684AAB">
              <w:rPr>
                <w:rFonts w:ascii="Cambria" w:eastAsia="Calibri" w:hAnsi="Cambria" w:cs="Calibri"/>
                <w:color w:val="000000"/>
                <w:sz w:val="24"/>
                <w:szCs w:val="24"/>
                <w:lang w:val="en-US"/>
              </w:rPr>
              <w:t>. 2016 Mar 2;89(5):892-909.</w:t>
            </w:r>
          </w:p>
        </w:tc>
        <w:tc>
          <w:tcPr>
            <w:tcW w:w="139" w:type="dxa"/>
            <w:noWrap/>
            <w:hideMark/>
          </w:tcPr>
          <w:p w14:paraId="2C04BDD1"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4CF2B8E4"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4FCBF800" w14:textId="77777777" w:rsidTr="00BF4B86">
        <w:trPr>
          <w:trHeight w:val="290"/>
        </w:trPr>
        <w:tc>
          <w:tcPr>
            <w:tcW w:w="26144" w:type="dxa"/>
            <w:gridSpan w:val="7"/>
            <w:noWrap/>
            <w:hideMark/>
          </w:tcPr>
          <w:p w14:paraId="5B7C6F70"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lastRenderedPageBreak/>
              <w:t xml:space="preserve">Nicolson KP, Mills SEE, Nicolson KP, Mills SEE, Senaratne DNS, Colvin LA, Smith BH. What is the association between childhood adversity and subsequent chronic pain in adulthood? A systematic review. </w:t>
            </w:r>
            <w:r w:rsidRPr="00684AAB">
              <w:rPr>
                <w:rFonts w:ascii="Cambria" w:eastAsia="Calibri" w:hAnsi="Cambria" w:cs="Calibri"/>
                <w:i/>
                <w:iCs/>
                <w:color w:val="000000"/>
                <w:sz w:val="24"/>
                <w:szCs w:val="24"/>
                <w:lang w:val="en-US"/>
              </w:rPr>
              <w:t>BJA Open</w:t>
            </w:r>
            <w:r w:rsidRPr="00684AAB">
              <w:rPr>
                <w:rFonts w:ascii="Cambria" w:eastAsia="Calibri" w:hAnsi="Cambria" w:cs="Calibri"/>
                <w:color w:val="000000"/>
                <w:sz w:val="24"/>
                <w:szCs w:val="24"/>
                <w:lang w:val="en-US"/>
              </w:rPr>
              <w:t xml:space="preserve">. </w:t>
            </w:r>
            <w:proofErr w:type="gramStart"/>
            <w:r w:rsidRPr="00684AAB">
              <w:rPr>
                <w:rFonts w:ascii="Cambria" w:eastAsia="Calibri" w:hAnsi="Cambria" w:cs="Calibri"/>
                <w:color w:val="000000"/>
                <w:sz w:val="24"/>
                <w:szCs w:val="24"/>
                <w:lang w:val="en-US"/>
              </w:rPr>
              <w:t>2023;6:100139</w:t>
            </w:r>
            <w:proofErr w:type="gramEnd"/>
            <w:r w:rsidRPr="00684AAB">
              <w:rPr>
                <w:rFonts w:ascii="Cambria" w:eastAsia="Calibri" w:hAnsi="Cambria" w:cs="Calibri"/>
                <w:color w:val="000000"/>
                <w:sz w:val="24"/>
                <w:szCs w:val="24"/>
                <w:lang w:val="en-US"/>
              </w:rPr>
              <w:t xml:space="preserve">.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10.1016/j.bjao.2023.100139, PMID 37588177.</w:t>
            </w:r>
          </w:p>
        </w:tc>
      </w:tr>
      <w:tr w:rsidR="006067ED" w:rsidRPr="006067ED" w14:paraId="1B09A544" w14:textId="77777777" w:rsidTr="00BF4B86">
        <w:trPr>
          <w:trHeight w:val="290"/>
        </w:trPr>
        <w:tc>
          <w:tcPr>
            <w:tcW w:w="26144" w:type="dxa"/>
            <w:gridSpan w:val="7"/>
            <w:noWrap/>
            <w:hideMark/>
          </w:tcPr>
          <w:p w14:paraId="5EF5E972"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hyperlink r:id="rId129" w:tgtFrame="_blank" w:history="1">
              <w:r w:rsidRPr="00684AAB">
                <w:rPr>
                  <w:rFonts w:ascii="Cambria" w:eastAsia="Calibri" w:hAnsi="Cambria" w:cs="Calibri"/>
                  <w:sz w:val="24"/>
                  <w:szCs w:val="24"/>
                  <w:lang w:val="en-US"/>
                </w:rPr>
                <w:t xml:space="preserve">Olsson UH, Foss T, Troye SV, Howell RD. The performance of ML, GLS, and WLS estimation in structural equation modeling under conditions of misspecification and nonnormality. </w:t>
              </w:r>
              <w:r w:rsidRPr="00684AAB">
                <w:rPr>
                  <w:rFonts w:ascii="Cambria" w:eastAsia="Calibri" w:hAnsi="Cambria" w:cs="Calibri"/>
                  <w:i/>
                  <w:iCs/>
                  <w:sz w:val="24"/>
                  <w:szCs w:val="24"/>
                  <w:lang w:val="en-US"/>
                </w:rPr>
                <w:t>Structural Equation Modeling: A Multidisciplinary Journal</w:t>
              </w:r>
              <w:r w:rsidRPr="00684AAB">
                <w:rPr>
                  <w:rFonts w:ascii="Cambria" w:eastAsia="Calibri" w:hAnsi="Cambria" w:cs="Calibri"/>
                  <w:sz w:val="24"/>
                  <w:szCs w:val="24"/>
                  <w:lang w:val="en-US"/>
                </w:rPr>
                <w:t xml:space="preserve">. 2000;7(4):557-95. </w:t>
              </w:r>
              <w:proofErr w:type="spellStart"/>
              <w:r w:rsidRPr="00684AAB">
                <w:rPr>
                  <w:rFonts w:ascii="Cambria" w:eastAsia="Calibri" w:hAnsi="Cambria" w:cs="Calibri"/>
                  <w:sz w:val="24"/>
                  <w:szCs w:val="24"/>
                  <w:lang w:val="en-US"/>
                </w:rPr>
                <w:t>doi</w:t>
              </w:r>
              <w:proofErr w:type="spellEnd"/>
              <w:r w:rsidRPr="00684AAB">
                <w:rPr>
                  <w:rFonts w:ascii="Cambria" w:eastAsia="Calibri" w:hAnsi="Cambria" w:cs="Calibri"/>
                  <w:sz w:val="24"/>
                  <w:szCs w:val="24"/>
                  <w:lang w:val="en-US"/>
                </w:rPr>
                <w:t>: 10.1207/S15328007SEM0704_3.</w:t>
              </w:r>
            </w:hyperlink>
          </w:p>
        </w:tc>
      </w:tr>
      <w:tr w:rsidR="006067ED" w:rsidRPr="006067ED" w14:paraId="4CBCD617" w14:textId="77777777" w:rsidTr="00BF4B86">
        <w:trPr>
          <w:trHeight w:val="290"/>
        </w:trPr>
        <w:tc>
          <w:tcPr>
            <w:tcW w:w="26144" w:type="dxa"/>
            <w:gridSpan w:val="7"/>
            <w:noWrap/>
            <w:hideMark/>
          </w:tcPr>
          <w:p w14:paraId="5C15D5ED" w14:textId="629A8D00" w:rsidR="006067ED" w:rsidRPr="00684AAB" w:rsidRDefault="006067ED" w:rsidP="00684AAB">
            <w:pPr>
              <w:suppressAutoHyphens/>
              <w:overflowPunct w:val="0"/>
              <w:spacing w:after="247" w:line="360" w:lineRule="auto"/>
              <w:rPr>
                <w:rFonts w:ascii="Cambria" w:eastAsia="Calibri" w:hAnsi="Cambria" w:cs="Calibri"/>
                <w:sz w:val="24"/>
                <w:szCs w:val="24"/>
                <w:lang w:val="en-US"/>
              </w:rPr>
            </w:pPr>
            <w:hyperlink r:id="rId130" w:history="1">
              <w:r w:rsidRPr="00684AAB">
                <w:rPr>
                  <w:rStyle w:val="Hyperlink"/>
                  <w:rFonts w:ascii="Cambria" w:eastAsia="Calibri" w:hAnsi="Cambria" w:cs="Calibri"/>
                  <w:color w:val="auto"/>
                  <w:sz w:val="24"/>
                  <w:szCs w:val="24"/>
                  <w:u w:val="none"/>
                  <w:lang w:val="en-US"/>
                </w:rPr>
                <w:t>R Core Team. R: A Language and Environment for Statistical Computing. Vienna, Austria: R Foundation for Statistical Computing; 2021. Available from: https://www.R-project.org.</w:t>
              </w:r>
            </w:hyperlink>
          </w:p>
        </w:tc>
      </w:tr>
      <w:tr w:rsidR="006067ED" w:rsidRPr="006067ED" w14:paraId="2F0B7787" w14:textId="77777777" w:rsidTr="00BF4B86">
        <w:trPr>
          <w:trHeight w:val="290"/>
        </w:trPr>
        <w:tc>
          <w:tcPr>
            <w:tcW w:w="26144" w:type="dxa"/>
            <w:gridSpan w:val="7"/>
            <w:noWrap/>
            <w:hideMark/>
          </w:tcPr>
          <w:p w14:paraId="036E06E7"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hyperlink r:id="rId131" w:history="1">
              <w:r w:rsidRPr="00684AAB">
                <w:rPr>
                  <w:rFonts w:ascii="Cambria" w:eastAsia="Calibri" w:hAnsi="Cambria" w:cs="Calibri"/>
                  <w:sz w:val="24"/>
                  <w:szCs w:val="24"/>
                  <w:lang w:val="en-US"/>
                </w:rPr>
                <w:t xml:space="preserve">Regmi, S., Kedia, S. K., Ahuja, N. A., Lee, G., Entwistle, C., &amp; Dillon, P. J. Association Between Adverse Childhood Experiences and Opioid Use-Related Behaviors: A Systematic Review. </w:t>
              </w:r>
              <w:r w:rsidRPr="00684AAB">
                <w:rPr>
                  <w:rFonts w:ascii="Cambria" w:eastAsia="Calibri" w:hAnsi="Cambria" w:cs="Calibri"/>
                  <w:i/>
                  <w:iCs/>
                  <w:sz w:val="24"/>
                  <w:szCs w:val="24"/>
                  <w:lang w:val="en-US"/>
                </w:rPr>
                <w:t>Trauma, Violence, &amp; Abuse</w:t>
              </w:r>
              <w:r w:rsidRPr="00684AAB">
                <w:rPr>
                  <w:rFonts w:ascii="Cambria" w:eastAsia="Calibri" w:hAnsi="Cambria" w:cs="Calibri"/>
                  <w:sz w:val="24"/>
                  <w:szCs w:val="24"/>
                  <w:lang w:val="en-US"/>
                </w:rPr>
                <w:t>, 2023; 0(0). https://doi.org/10.1177/15248380231205821.</w:t>
              </w:r>
            </w:hyperlink>
          </w:p>
        </w:tc>
      </w:tr>
      <w:tr w:rsidR="006067ED" w:rsidRPr="006067ED" w14:paraId="6643A055" w14:textId="77777777" w:rsidTr="00BF4B86">
        <w:trPr>
          <w:trHeight w:val="290"/>
        </w:trPr>
        <w:tc>
          <w:tcPr>
            <w:tcW w:w="25727" w:type="dxa"/>
            <w:gridSpan w:val="4"/>
            <w:noWrap/>
            <w:hideMark/>
          </w:tcPr>
          <w:p w14:paraId="65F544F1"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hyperlink r:id="rId132" w:tgtFrame="_blank" w:history="1">
              <w:r w:rsidRPr="00684AAB">
                <w:rPr>
                  <w:rFonts w:ascii="Cambria" w:eastAsia="Calibri" w:hAnsi="Cambria" w:cs="Calibri"/>
                  <w:sz w:val="24"/>
                  <w:szCs w:val="24"/>
                  <w:lang w:val="en-US"/>
                </w:rPr>
                <w:t xml:space="preserve">Rosseel Y. </w:t>
              </w:r>
              <w:proofErr w:type="spellStart"/>
              <w:r w:rsidRPr="00684AAB">
                <w:rPr>
                  <w:rFonts w:ascii="Cambria" w:eastAsia="Calibri" w:hAnsi="Cambria" w:cs="Calibri"/>
                  <w:sz w:val="24"/>
                  <w:szCs w:val="24"/>
                  <w:lang w:val="en-US"/>
                </w:rPr>
                <w:t>lavaan</w:t>
              </w:r>
              <w:proofErr w:type="spellEnd"/>
              <w:r w:rsidRPr="00684AAB">
                <w:rPr>
                  <w:rFonts w:ascii="Cambria" w:eastAsia="Calibri" w:hAnsi="Cambria" w:cs="Calibri"/>
                  <w:sz w:val="24"/>
                  <w:szCs w:val="24"/>
                  <w:lang w:val="en-US"/>
                </w:rPr>
                <w:t xml:space="preserve">: an R package for Structural Equation Modeling. J Stat </w:t>
              </w:r>
              <w:proofErr w:type="spellStart"/>
              <w:r w:rsidRPr="00684AAB">
                <w:rPr>
                  <w:rFonts w:ascii="Cambria" w:eastAsia="Calibri" w:hAnsi="Cambria" w:cs="Calibri"/>
                  <w:sz w:val="24"/>
                  <w:szCs w:val="24"/>
                  <w:lang w:val="en-US"/>
                </w:rPr>
                <w:t>Softw</w:t>
              </w:r>
              <w:proofErr w:type="spellEnd"/>
              <w:r w:rsidRPr="00684AAB">
                <w:rPr>
                  <w:rFonts w:ascii="Cambria" w:eastAsia="Calibri" w:hAnsi="Cambria" w:cs="Calibri"/>
                  <w:sz w:val="24"/>
                  <w:szCs w:val="24"/>
                  <w:lang w:val="en-US"/>
                </w:rPr>
                <w:t xml:space="preserve">. 2012;48(2):1-36. </w:t>
              </w:r>
              <w:proofErr w:type="spellStart"/>
              <w:r w:rsidRPr="00684AAB">
                <w:rPr>
                  <w:rFonts w:ascii="Cambria" w:eastAsia="Calibri" w:hAnsi="Cambria" w:cs="Calibri"/>
                  <w:sz w:val="24"/>
                  <w:szCs w:val="24"/>
                  <w:lang w:val="en-US"/>
                </w:rPr>
                <w:t>doi</w:t>
              </w:r>
              <w:proofErr w:type="spellEnd"/>
              <w:r w:rsidRPr="00684AAB">
                <w:rPr>
                  <w:rFonts w:ascii="Cambria" w:eastAsia="Calibri" w:hAnsi="Cambria" w:cs="Calibri"/>
                  <w:sz w:val="24"/>
                  <w:szCs w:val="24"/>
                  <w:lang w:val="en-US"/>
                </w:rPr>
                <w:t>: 10.18637/</w:t>
              </w:r>
              <w:proofErr w:type="gramStart"/>
              <w:r w:rsidRPr="00684AAB">
                <w:rPr>
                  <w:rFonts w:ascii="Cambria" w:eastAsia="Calibri" w:hAnsi="Cambria" w:cs="Calibri"/>
                  <w:sz w:val="24"/>
                  <w:szCs w:val="24"/>
                  <w:lang w:val="en-US"/>
                </w:rPr>
                <w:t>jss.v048.i</w:t>
              </w:r>
              <w:proofErr w:type="gramEnd"/>
              <w:r w:rsidRPr="00684AAB">
                <w:rPr>
                  <w:rFonts w:ascii="Cambria" w:eastAsia="Calibri" w:hAnsi="Cambria" w:cs="Calibri"/>
                  <w:sz w:val="24"/>
                  <w:szCs w:val="24"/>
                  <w:lang w:val="en-US"/>
                </w:rPr>
                <w:t>02.</w:t>
              </w:r>
            </w:hyperlink>
          </w:p>
        </w:tc>
        <w:tc>
          <w:tcPr>
            <w:tcW w:w="139" w:type="dxa"/>
            <w:noWrap/>
            <w:hideMark/>
          </w:tcPr>
          <w:p w14:paraId="0D62B5A9"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p>
        </w:tc>
        <w:tc>
          <w:tcPr>
            <w:tcW w:w="139" w:type="dxa"/>
            <w:noWrap/>
            <w:hideMark/>
          </w:tcPr>
          <w:p w14:paraId="1EDFBB49"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p>
        </w:tc>
        <w:tc>
          <w:tcPr>
            <w:tcW w:w="139" w:type="dxa"/>
            <w:noWrap/>
            <w:hideMark/>
          </w:tcPr>
          <w:p w14:paraId="08209D6A"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p>
        </w:tc>
      </w:tr>
      <w:tr w:rsidR="006067ED" w:rsidRPr="006067ED" w14:paraId="5843DEC4" w14:textId="77777777" w:rsidTr="00BF4B86">
        <w:trPr>
          <w:trHeight w:val="290"/>
        </w:trPr>
        <w:tc>
          <w:tcPr>
            <w:tcW w:w="26144" w:type="dxa"/>
            <w:gridSpan w:val="7"/>
            <w:noWrap/>
            <w:hideMark/>
          </w:tcPr>
          <w:p w14:paraId="4B6AB8E4" w14:textId="77777777" w:rsidR="006067ED" w:rsidRPr="00684AAB" w:rsidRDefault="006067ED" w:rsidP="00684AAB">
            <w:pPr>
              <w:suppressAutoHyphens/>
              <w:overflowPunct w:val="0"/>
              <w:spacing w:after="247" w:line="360" w:lineRule="auto"/>
              <w:rPr>
                <w:rFonts w:ascii="Cambria" w:eastAsia="Calibri" w:hAnsi="Cambria" w:cs="Calibri"/>
                <w:sz w:val="24"/>
                <w:szCs w:val="24"/>
                <w:lang w:val="en-US"/>
              </w:rPr>
            </w:pPr>
            <w:hyperlink r:id="rId133" w:history="1">
              <w:r w:rsidRPr="00684AAB">
                <w:rPr>
                  <w:rFonts w:ascii="Cambria" w:eastAsia="Calibri" w:hAnsi="Cambria" w:cs="Calibri"/>
                  <w:sz w:val="24"/>
                  <w:szCs w:val="24"/>
                  <w:lang w:val="en-US"/>
                </w:rPr>
                <w:t>Ryff CD, Almeida DM, Ayanian JZ, Carr DS, Cleary PD, Coe C. et al. Midlife in the United States (MIDUS 2). Inter-university Consortium for Political and Social Research [distributor]; 2004-2006 [cited 2021-9-15]. Available from: https://doi.org/10.3886/ICPSR04652. v8.</w:t>
              </w:r>
            </w:hyperlink>
          </w:p>
        </w:tc>
      </w:tr>
      <w:tr w:rsidR="006067ED" w:rsidRPr="006067ED" w14:paraId="474FA313" w14:textId="77777777" w:rsidTr="00BF4B86">
        <w:trPr>
          <w:trHeight w:val="290"/>
        </w:trPr>
        <w:tc>
          <w:tcPr>
            <w:tcW w:w="26144" w:type="dxa"/>
            <w:gridSpan w:val="7"/>
            <w:noWrap/>
            <w:hideMark/>
          </w:tcPr>
          <w:p w14:paraId="3EC5DA2C"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Sachs-Ericsson NJ, Sheffler JL, Stanley IH, Piazza JR, Preacher KJ. When Emotional Pain Becomes Physical: Adverse Childhood Experiences, Pain, and the Role of Mood and Anxiety Disorders. </w:t>
            </w:r>
            <w:r w:rsidRPr="00684AAB">
              <w:rPr>
                <w:rFonts w:ascii="Cambria" w:eastAsia="Calibri" w:hAnsi="Cambria" w:cs="Calibri"/>
                <w:i/>
                <w:iCs/>
                <w:color w:val="000000"/>
                <w:sz w:val="24"/>
                <w:szCs w:val="24"/>
                <w:lang w:val="en-US"/>
              </w:rPr>
              <w:t>J Clin Psychol</w:t>
            </w:r>
            <w:r w:rsidRPr="00684AAB">
              <w:rPr>
                <w:rFonts w:ascii="Cambria" w:eastAsia="Calibri" w:hAnsi="Cambria" w:cs="Calibri"/>
                <w:color w:val="000000"/>
                <w:sz w:val="24"/>
                <w:szCs w:val="24"/>
                <w:lang w:val="en-US"/>
              </w:rPr>
              <w:t xml:space="preserve">. 2017 Oct;73(10):1403-1428.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10.1002/jclp.22444.</w:t>
            </w:r>
          </w:p>
        </w:tc>
      </w:tr>
      <w:tr w:rsidR="006067ED" w:rsidRPr="006067ED" w14:paraId="4984F64E" w14:textId="77777777" w:rsidTr="00BF4B86">
        <w:trPr>
          <w:trHeight w:val="290"/>
        </w:trPr>
        <w:tc>
          <w:tcPr>
            <w:tcW w:w="25588" w:type="dxa"/>
            <w:gridSpan w:val="3"/>
            <w:noWrap/>
            <w:hideMark/>
          </w:tcPr>
          <w:p w14:paraId="552FE89E"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Spielberger CD. State–Trait Anxiety Inventory for Adults (STAI-AD) [Database record]. </w:t>
            </w:r>
            <w:proofErr w:type="spellStart"/>
            <w:r w:rsidRPr="00684AAB">
              <w:rPr>
                <w:rFonts w:ascii="Cambria" w:eastAsia="Calibri" w:hAnsi="Cambria" w:cs="Calibri"/>
                <w:color w:val="000000"/>
                <w:sz w:val="24"/>
                <w:szCs w:val="24"/>
                <w:lang w:val="en-US"/>
              </w:rPr>
              <w:t>PsycTESTS</w:t>
            </w:r>
            <w:proofErr w:type="spellEnd"/>
            <w:r w:rsidRPr="00684AAB">
              <w:rPr>
                <w:rFonts w:ascii="Cambria" w:eastAsia="Calibri" w:hAnsi="Cambria" w:cs="Calibri"/>
                <w:color w:val="000000"/>
                <w:sz w:val="24"/>
                <w:szCs w:val="24"/>
                <w:lang w:val="en-US"/>
              </w:rPr>
              <w:t>; 1983.</w:t>
            </w:r>
          </w:p>
        </w:tc>
        <w:tc>
          <w:tcPr>
            <w:tcW w:w="139" w:type="dxa"/>
            <w:noWrap/>
            <w:hideMark/>
          </w:tcPr>
          <w:p w14:paraId="29FBD1A3"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3CA624B2"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4CDA8945"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76D0F647"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0717BA05" w14:textId="77777777" w:rsidTr="00BF4B86">
        <w:trPr>
          <w:trHeight w:val="290"/>
        </w:trPr>
        <w:tc>
          <w:tcPr>
            <w:tcW w:w="26144" w:type="dxa"/>
            <w:gridSpan w:val="7"/>
            <w:noWrap/>
            <w:hideMark/>
          </w:tcPr>
          <w:p w14:paraId="0CE9F990" w14:textId="4EDF7D2D"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hyperlink r:id="rId134" w:history="1">
              <w:r w:rsidRPr="00684AAB">
                <w:rPr>
                  <w:rFonts w:ascii="Cambria" w:eastAsia="Calibri" w:hAnsi="Cambria" w:cs="Calibri"/>
                  <w:sz w:val="24"/>
                  <w:szCs w:val="24"/>
                  <w:lang w:val="en-US"/>
                </w:rPr>
                <w:t>Stein, B.D., Sherry, T.B., O’Neill, B. et al. Rapid Discontinuation of Chronic, High-Dose Opioid Treatment for Pain: Prevalence and Associated Factors. </w:t>
              </w:r>
              <w:r w:rsidRPr="00684AAB">
                <w:rPr>
                  <w:rFonts w:ascii="Cambria" w:eastAsia="Calibri" w:hAnsi="Cambria" w:cs="Calibri"/>
                  <w:i/>
                  <w:iCs/>
                  <w:sz w:val="24"/>
                  <w:szCs w:val="24"/>
                  <w:lang w:val="en-US"/>
                </w:rPr>
                <w:t>J GEN INTERN MED</w:t>
              </w:r>
              <w:r w:rsidRPr="00684AAB">
                <w:rPr>
                  <w:rFonts w:ascii="Cambria" w:eastAsia="Calibri" w:hAnsi="Cambria" w:cs="Calibri"/>
                  <w:sz w:val="24"/>
                  <w:szCs w:val="24"/>
                  <w:lang w:val="en-US"/>
                </w:rPr>
                <w:t> 2022; 37, 1603–1609. https://doi.org/10.1007/s11606-021-07119-3</w:t>
              </w:r>
            </w:hyperlink>
            <w:r w:rsidRPr="00684AAB">
              <w:rPr>
                <w:rFonts w:ascii="Cambria" w:eastAsia="Calibri" w:hAnsi="Cambria" w:cs="Calibri"/>
                <w:sz w:val="24"/>
                <w:szCs w:val="24"/>
                <w:lang w:val="en-US"/>
              </w:rPr>
              <w:t>.</w:t>
            </w:r>
          </w:p>
        </w:tc>
      </w:tr>
      <w:tr w:rsidR="006067ED" w:rsidRPr="006067ED" w14:paraId="4A619B85" w14:textId="77777777" w:rsidTr="00BF4B86">
        <w:trPr>
          <w:trHeight w:val="290"/>
        </w:trPr>
        <w:tc>
          <w:tcPr>
            <w:tcW w:w="26144" w:type="dxa"/>
            <w:gridSpan w:val="7"/>
            <w:noWrap/>
            <w:hideMark/>
          </w:tcPr>
          <w:p w14:paraId="344807D7"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roofErr w:type="spellStart"/>
            <w:r w:rsidRPr="00684AAB">
              <w:rPr>
                <w:rFonts w:ascii="Cambria" w:eastAsia="Calibri" w:hAnsi="Cambria" w:cs="Calibri"/>
                <w:color w:val="000000"/>
                <w:sz w:val="24"/>
                <w:szCs w:val="24"/>
                <w:lang w:val="en-US"/>
              </w:rPr>
              <w:t>Stoltenborgh</w:t>
            </w:r>
            <w:proofErr w:type="spellEnd"/>
            <w:r w:rsidRPr="00684AAB">
              <w:rPr>
                <w:rFonts w:ascii="Cambria" w:eastAsia="Calibri" w:hAnsi="Cambria" w:cs="Calibri"/>
                <w:color w:val="000000"/>
                <w:sz w:val="24"/>
                <w:szCs w:val="24"/>
                <w:lang w:val="en-US"/>
              </w:rPr>
              <w:t xml:space="preserve"> M, </w:t>
            </w:r>
            <w:proofErr w:type="spellStart"/>
            <w:r w:rsidRPr="00684AAB">
              <w:rPr>
                <w:rFonts w:ascii="Cambria" w:eastAsia="Calibri" w:hAnsi="Cambria" w:cs="Calibri"/>
                <w:color w:val="000000"/>
                <w:sz w:val="24"/>
                <w:szCs w:val="24"/>
                <w:lang w:val="en-US"/>
              </w:rPr>
              <w:t>Bakermans</w:t>
            </w:r>
            <w:proofErr w:type="spellEnd"/>
            <w:r w:rsidRPr="00684AAB">
              <w:rPr>
                <w:rFonts w:ascii="Cambria" w:eastAsia="Calibri" w:hAnsi="Cambria" w:cs="Calibri"/>
                <w:color w:val="000000"/>
                <w:sz w:val="24"/>
                <w:szCs w:val="24"/>
                <w:lang w:val="en-US"/>
              </w:rPr>
              <w:t xml:space="preserve">-Kranenburg MJ, van </w:t>
            </w:r>
            <w:proofErr w:type="spellStart"/>
            <w:r w:rsidRPr="00684AAB">
              <w:rPr>
                <w:rFonts w:ascii="Cambria" w:eastAsia="Calibri" w:hAnsi="Cambria" w:cs="Calibri"/>
                <w:color w:val="000000"/>
                <w:sz w:val="24"/>
                <w:szCs w:val="24"/>
                <w:lang w:val="en-US"/>
              </w:rPr>
              <w:t>IJzendoorn</w:t>
            </w:r>
            <w:proofErr w:type="spellEnd"/>
            <w:r w:rsidRPr="00684AAB">
              <w:rPr>
                <w:rFonts w:ascii="Cambria" w:eastAsia="Calibri" w:hAnsi="Cambria" w:cs="Calibri"/>
                <w:color w:val="000000"/>
                <w:sz w:val="24"/>
                <w:szCs w:val="24"/>
                <w:lang w:val="en-US"/>
              </w:rPr>
              <w:t xml:space="preserve"> MH. The neglect of child neglect: a meta-analytic review of the prevalence of neglect. </w:t>
            </w:r>
            <w:r w:rsidRPr="00684AAB">
              <w:rPr>
                <w:rFonts w:ascii="Cambria" w:eastAsia="Calibri" w:hAnsi="Cambria" w:cs="Calibri"/>
                <w:i/>
                <w:iCs/>
                <w:color w:val="000000"/>
                <w:sz w:val="24"/>
                <w:szCs w:val="24"/>
                <w:lang w:val="en-US"/>
              </w:rPr>
              <w:t xml:space="preserve">Soc Psychiatry </w:t>
            </w:r>
            <w:proofErr w:type="spellStart"/>
            <w:r w:rsidRPr="00684AAB">
              <w:rPr>
                <w:rFonts w:ascii="Cambria" w:eastAsia="Calibri" w:hAnsi="Cambria" w:cs="Calibri"/>
                <w:i/>
                <w:iCs/>
                <w:color w:val="000000"/>
                <w:sz w:val="24"/>
                <w:szCs w:val="24"/>
                <w:lang w:val="en-US"/>
              </w:rPr>
              <w:t>Psychiatr</w:t>
            </w:r>
            <w:proofErr w:type="spellEnd"/>
            <w:r w:rsidRPr="00684AAB">
              <w:rPr>
                <w:rFonts w:ascii="Cambria" w:eastAsia="Calibri" w:hAnsi="Cambria" w:cs="Calibri"/>
                <w:i/>
                <w:iCs/>
                <w:color w:val="000000"/>
                <w:sz w:val="24"/>
                <w:szCs w:val="24"/>
                <w:lang w:val="en-US"/>
              </w:rPr>
              <w:t xml:space="preserve"> Epidemiol</w:t>
            </w:r>
            <w:r w:rsidRPr="00684AAB">
              <w:rPr>
                <w:rFonts w:ascii="Cambria" w:eastAsia="Calibri" w:hAnsi="Cambria" w:cs="Calibri"/>
                <w:color w:val="000000"/>
                <w:sz w:val="24"/>
                <w:szCs w:val="24"/>
                <w:lang w:val="en-US"/>
              </w:rPr>
              <w:t xml:space="preserve">. 2013;48(3):345–55. </w:t>
            </w:r>
          </w:p>
        </w:tc>
      </w:tr>
      <w:tr w:rsidR="006067ED" w:rsidRPr="006067ED" w14:paraId="70AB94F5" w14:textId="77777777" w:rsidTr="00BF4B86">
        <w:trPr>
          <w:trHeight w:val="290"/>
        </w:trPr>
        <w:tc>
          <w:tcPr>
            <w:tcW w:w="26144" w:type="dxa"/>
            <w:gridSpan w:val="7"/>
            <w:noWrap/>
            <w:hideMark/>
          </w:tcPr>
          <w:p w14:paraId="1D98240C"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Tidmarsh LV, Harrison R, Ravindran D, Matthews SL, Finlay KA. The Influence of Adverse Childhood Experiences in Pain Management: Mechanisms, Processes, and Trauma-Informed Care. </w:t>
            </w:r>
            <w:r w:rsidRPr="00684AAB">
              <w:rPr>
                <w:rFonts w:ascii="Cambria" w:eastAsia="Calibri" w:hAnsi="Cambria" w:cs="Calibri"/>
                <w:i/>
                <w:iCs/>
                <w:color w:val="000000"/>
                <w:sz w:val="24"/>
                <w:szCs w:val="24"/>
                <w:lang w:val="en-US"/>
              </w:rPr>
              <w:t>Front Pain Res</w:t>
            </w:r>
            <w:r w:rsidRPr="00684AAB">
              <w:rPr>
                <w:rFonts w:ascii="Cambria" w:eastAsia="Calibri" w:hAnsi="Cambria" w:cs="Calibri"/>
                <w:color w:val="000000"/>
                <w:sz w:val="24"/>
                <w:szCs w:val="24"/>
                <w:lang w:val="en-US"/>
              </w:rPr>
              <w:t xml:space="preserve"> (Lausanne). 2022 Jun </w:t>
            </w:r>
            <w:proofErr w:type="gramStart"/>
            <w:r w:rsidRPr="00684AAB">
              <w:rPr>
                <w:rFonts w:ascii="Cambria" w:eastAsia="Calibri" w:hAnsi="Cambria" w:cs="Calibri"/>
                <w:color w:val="000000"/>
                <w:sz w:val="24"/>
                <w:szCs w:val="24"/>
                <w:lang w:val="en-US"/>
              </w:rPr>
              <w:t>10;3:923866</w:t>
            </w:r>
            <w:proofErr w:type="gramEnd"/>
            <w:r w:rsidRPr="00684AAB">
              <w:rPr>
                <w:rFonts w:ascii="Cambria" w:eastAsia="Calibri" w:hAnsi="Cambria" w:cs="Calibri"/>
                <w:color w:val="000000"/>
                <w:sz w:val="24"/>
                <w:szCs w:val="24"/>
                <w:lang w:val="en-US"/>
              </w:rPr>
              <w:t>.</w:t>
            </w:r>
          </w:p>
        </w:tc>
      </w:tr>
      <w:tr w:rsidR="006067ED" w:rsidRPr="006067ED" w14:paraId="697AD254" w14:textId="77777777" w:rsidTr="00BF4B86">
        <w:trPr>
          <w:trHeight w:val="290"/>
        </w:trPr>
        <w:tc>
          <w:tcPr>
            <w:tcW w:w="26144" w:type="dxa"/>
            <w:gridSpan w:val="7"/>
            <w:noWrap/>
            <w:hideMark/>
          </w:tcPr>
          <w:p w14:paraId="017E687A"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Veenstra G. Race, gender, class, and sexual orientation: intersecting axes of inequality and self-rated health in Canada. </w:t>
            </w:r>
            <w:r w:rsidRPr="00684AAB">
              <w:rPr>
                <w:rFonts w:ascii="Cambria" w:eastAsia="Calibri" w:hAnsi="Cambria" w:cs="Calibri"/>
                <w:i/>
                <w:iCs/>
                <w:color w:val="000000"/>
                <w:sz w:val="24"/>
                <w:szCs w:val="24"/>
                <w:lang w:val="en-US"/>
              </w:rPr>
              <w:t>Int J Equity Health.</w:t>
            </w:r>
            <w:r w:rsidRPr="00684AAB">
              <w:rPr>
                <w:rFonts w:ascii="Cambria" w:eastAsia="Calibri" w:hAnsi="Cambria" w:cs="Calibri"/>
                <w:color w:val="000000"/>
                <w:sz w:val="24"/>
                <w:szCs w:val="24"/>
                <w:lang w:val="en-US"/>
              </w:rPr>
              <w:t xml:space="preserve"> 2011 Jan </w:t>
            </w:r>
            <w:proofErr w:type="gramStart"/>
            <w:r w:rsidRPr="00684AAB">
              <w:rPr>
                <w:rFonts w:ascii="Cambria" w:eastAsia="Calibri" w:hAnsi="Cambria" w:cs="Calibri"/>
                <w:color w:val="000000"/>
                <w:sz w:val="24"/>
                <w:szCs w:val="24"/>
                <w:lang w:val="en-US"/>
              </w:rPr>
              <w:t>17;10:3</w:t>
            </w:r>
            <w:proofErr w:type="gramEnd"/>
            <w:r w:rsidRPr="00684AAB">
              <w:rPr>
                <w:rFonts w:ascii="Cambria" w:eastAsia="Calibri" w:hAnsi="Cambria" w:cs="Calibri"/>
                <w:color w:val="000000"/>
                <w:sz w:val="24"/>
                <w:szCs w:val="24"/>
                <w:lang w:val="en-US"/>
              </w:rPr>
              <w:t xml:space="preserve">.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10.1186/1475-9276-10-3. </w:t>
            </w:r>
          </w:p>
        </w:tc>
      </w:tr>
      <w:tr w:rsidR="006067ED" w:rsidRPr="006067ED" w14:paraId="6C562E4C" w14:textId="77777777" w:rsidTr="00BF4B86">
        <w:trPr>
          <w:trHeight w:val="290"/>
        </w:trPr>
        <w:tc>
          <w:tcPr>
            <w:tcW w:w="26144" w:type="dxa"/>
            <w:gridSpan w:val="7"/>
            <w:noWrap/>
            <w:hideMark/>
          </w:tcPr>
          <w:p w14:paraId="27E3E1B2"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Wente VM, Retz-</w:t>
            </w:r>
            <w:proofErr w:type="spellStart"/>
            <w:r w:rsidRPr="00684AAB">
              <w:rPr>
                <w:rFonts w:ascii="Cambria" w:eastAsia="Calibri" w:hAnsi="Cambria" w:cs="Calibri"/>
                <w:color w:val="000000"/>
                <w:sz w:val="24"/>
                <w:szCs w:val="24"/>
                <w:lang w:val="en-US"/>
              </w:rPr>
              <w:t>Junginger</w:t>
            </w:r>
            <w:proofErr w:type="spellEnd"/>
            <w:r w:rsidRPr="00684AAB">
              <w:rPr>
                <w:rFonts w:ascii="Cambria" w:eastAsia="Calibri" w:hAnsi="Cambria" w:cs="Calibri"/>
                <w:color w:val="000000"/>
                <w:sz w:val="24"/>
                <w:szCs w:val="24"/>
                <w:lang w:val="en-US"/>
              </w:rPr>
              <w:t xml:space="preserve"> P, </w:t>
            </w:r>
            <w:proofErr w:type="spellStart"/>
            <w:r w:rsidRPr="00684AAB">
              <w:rPr>
                <w:rFonts w:ascii="Cambria" w:eastAsia="Calibri" w:hAnsi="Cambria" w:cs="Calibri"/>
                <w:color w:val="000000"/>
                <w:sz w:val="24"/>
                <w:szCs w:val="24"/>
                <w:lang w:val="en-US"/>
              </w:rPr>
              <w:t>Crombach</w:t>
            </w:r>
            <w:proofErr w:type="spellEnd"/>
            <w:r w:rsidRPr="00684AAB">
              <w:rPr>
                <w:rFonts w:ascii="Cambria" w:eastAsia="Calibri" w:hAnsi="Cambria" w:cs="Calibri"/>
                <w:color w:val="000000"/>
                <w:sz w:val="24"/>
                <w:szCs w:val="24"/>
                <w:lang w:val="en-US"/>
              </w:rPr>
              <w:t xml:space="preserve"> A, Retz W, Barra S. The suitability of the childhood trauma questionnaire in criminal offender samples. </w:t>
            </w:r>
            <w:r w:rsidRPr="00684AAB">
              <w:rPr>
                <w:rFonts w:ascii="Cambria" w:eastAsia="Calibri" w:hAnsi="Cambria" w:cs="Calibri"/>
                <w:i/>
                <w:iCs/>
                <w:color w:val="000000"/>
                <w:sz w:val="24"/>
                <w:szCs w:val="24"/>
                <w:lang w:val="en-US"/>
              </w:rPr>
              <w:t>Int J Environ Res Public Health</w:t>
            </w:r>
            <w:r w:rsidRPr="00684AAB">
              <w:rPr>
                <w:rFonts w:ascii="Cambria" w:eastAsia="Calibri" w:hAnsi="Cambria" w:cs="Calibri"/>
                <w:color w:val="000000"/>
                <w:sz w:val="24"/>
                <w:szCs w:val="24"/>
                <w:lang w:val="en-US"/>
              </w:rPr>
              <w:t xml:space="preserve">. 2023;20(6):5195.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10.3390/ijerph20065195, PMID 36982104.</w:t>
            </w:r>
          </w:p>
        </w:tc>
      </w:tr>
      <w:tr w:rsidR="006067ED" w:rsidRPr="006067ED" w14:paraId="0FCDBB2E" w14:textId="77777777" w:rsidTr="00BF4B86">
        <w:trPr>
          <w:trHeight w:val="290"/>
        </w:trPr>
        <w:tc>
          <w:tcPr>
            <w:tcW w:w="26144" w:type="dxa"/>
            <w:gridSpan w:val="7"/>
            <w:noWrap/>
            <w:hideMark/>
          </w:tcPr>
          <w:p w14:paraId="413B0222"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Wium-Andersen MK, Ørsted DD, Nielsen SF, Nordestgaard BG. Elevated C-reactive protein levels, psychological distress, and depression in 73, 131 individuals. </w:t>
            </w:r>
            <w:r w:rsidRPr="00684AAB">
              <w:rPr>
                <w:rFonts w:ascii="Cambria" w:eastAsia="Calibri" w:hAnsi="Cambria" w:cs="Calibri"/>
                <w:i/>
                <w:iCs/>
                <w:color w:val="000000"/>
                <w:sz w:val="24"/>
                <w:szCs w:val="24"/>
                <w:lang w:val="en-US"/>
              </w:rPr>
              <w:t>JAMA Psychiatry</w:t>
            </w:r>
            <w:r w:rsidRPr="00684AAB">
              <w:rPr>
                <w:rFonts w:ascii="Cambria" w:eastAsia="Calibri" w:hAnsi="Cambria" w:cs="Calibri"/>
                <w:color w:val="000000"/>
                <w:sz w:val="24"/>
                <w:szCs w:val="24"/>
                <w:lang w:val="en-US"/>
              </w:rPr>
              <w:t xml:space="preserve">. 2013 Feb;70(2):176-84.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10.1001/2013.jamapsychiatry.</w:t>
            </w:r>
          </w:p>
        </w:tc>
      </w:tr>
      <w:tr w:rsidR="006067ED" w:rsidRPr="006067ED" w14:paraId="136A9FA9" w14:textId="77777777" w:rsidTr="00BF4B86">
        <w:trPr>
          <w:trHeight w:val="290"/>
        </w:trPr>
        <w:tc>
          <w:tcPr>
            <w:tcW w:w="25727" w:type="dxa"/>
            <w:gridSpan w:val="4"/>
            <w:noWrap/>
            <w:hideMark/>
          </w:tcPr>
          <w:p w14:paraId="62928B9B"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Woo AK. Depression and anxiety in pain. </w:t>
            </w:r>
            <w:r w:rsidRPr="00684AAB">
              <w:rPr>
                <w:rFonts w:ascii="Cambria" w:eastAsia="Calibri" w:hAnsi="Cambria" w:cs="Calibri"/>
                <w:i/>
                <w:iCs/>
                <w:color w:val="000000"/>
                <w:sz w:val="24"/>
                <w:szCs w:val="24"/>
                <w:lang w:val="en-US"/>
              </w:rPr>
              <w:t>Rev Pain</w:t>
            </w:r>
            <w:r w:rsidRPr="00684AAB">
              <w:rPr>
                <w:rFonts w:ascii="Cambria" w:eastAsia="Calibri" w:hAnsi="Cambria" w:cs="Calibri"/>
                <w:color w:val="000000"/>
                <w:sz w:val="24"/>
                <w:szCs w:val="24"/>
                <w:lang w:val="en-US"/>
              </w:rPr>
              <w:t xml:space="preserve">. 2010;4(1):8-12.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10.1177/204946371000400103, PMID 26527193.</w:t>
            </w:r>
          </w:p>
        </w:tc>
        <w:tc>
          <w:tcPr>
            <w:tcW w:w="139" w:type="dxa"/>
            <w:noWrap/>
            <w:hideMark/>
          </w:tcPr>
          <w:p w14:paraId="2B02A67B"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1FB9891D"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c>
          <w:tcPr>
            <w:tcW w:w="139" w:type="dxa"/>
            <w:noWrap/>
            <w:hideMark/>
          </w:tcPr>
          <w:p w14:paraId="2BCDDB81"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p>
        </w:tc>
      </w:tr>
      <w:tr w:rsidR="006067ED" w:rsidRPr="006067ED" w14:paraId="33B1850C" w14:textId="77777777" w:rsidTr="00BF4B86">
        <w:trPr>
          <w:trHeight w:val="290"/>
        </w:trPr>
        <w:tc>
          <w:tcPr>
            <w:tcW w:w="26144" w:type="dxa"/>
            <w:gridSpan w:val="7"/>
            <w:noWrap/>
            <w:hideMark/>
          </w:tcPr>
          <w:p w14:paraId="7C7BC7EB" w14:textId="77777777" w:rsidR="006067ED" w:rsidRPr="00684AAB" w:rsidRDefault="006067ED" w:rsidP="00684AAB">
            <w:pPr>
              <w:suppressAutoHyphens/>
              <w:overflowPunct w:val="0"/>
              <w:spacing w:after="247" w:line="360" w:lineRule="auto"/>
              <w:rPr>
                <w:rFonts w:ascii="Cambria" w:eastAsia="Calibri" w:hAnsi="Cambria" w:cs="Calibri"/>
                <w:color w:val="000000"/>
                <w:sz w:val="24"/>
                <w:szCs w:val="24"/>
                <w:lang w:val="en-US"/>
              </w:rPr>
            </w:pPr>
            <w:r w:rsidRPr="00684AAB">
              <w:rPr>
                <w:rFonts w:ascii="Cambria" w:eastAsia="Calibri" w:hAnsi="Cambria" w:cs="Calibri"/>
                <w:color w:val="000000"/>
                <w:sz w:val="24"/>
                <w:szCs w:val="24"/>
                <w:lang w:val="en-US"/>
              </w:rPr>
              <w:t xml:space="preserve">Zhang Q, Sun H, Xin Y, Li X, Shao X. Studies on Pain Associated with Anxiety or Depression in the Last 10 Years: A Bibliometric Analysis. </w:t>
            </w:r>
            <w:r w:rsidRPr="00684AAB">
              <w:rPr>
                <w:rFonts w:ascii="Cambria" w:eastAsia="Calibri" w:hAnsi="Cambria" w:cs="Calibri"/>
                <w:i/>
                <w:iCs/>
                <w:color w:val="000000"/>
                <w:sz w:val="24"/>
                <w:szCs w:val="24"/>
                <w:lang w:val="en-US"/>
              </w:rPr>
              <w:t>J Pain Res</w:t>
            </w:r>
            <w:r w:rsidRPr="00684AAB">
              <w:rPr>
                <w:rFonts w:ascii="Cambria" w:eastAsia="Calibri" w:hAnsi="Cambria" w:cs="Calibri"/>
                <w:color w:val="000000"/>
                <w:sz w:val="24"/>
                <w:szCs w:val="24"/>
                <w:lang w:val="en-US"/>
              </w:rPr>
              <w:t xml:space="preserve">. 2024 Jan </w:t>
            </w:r>
            <w:proofErr w:type="gramStart"/>
            <w:r w:rsidRPr="00684AAB">
              <w:rPr>
                <w:rFonts w:ascii="Cambria" w:eastAsia="Calibri" w:hAnsi="Cambria" w:cs="Calibri"/>
                <w:color w:val="000000"/>
                <w:sz w:val="24"/>
                <w:szCs w:val="24"/>
                <w:lang w:val="en-US"/>
              </w:rPr>
              <w:t>5;17:133</w:t>
            </w:r>
            <w:proofErr w:type="gramEnd"/>
            <w:r w:rsidRPr="00684AAB">
              <w:rPr>
                <w:rFonts w:ascii="Cambria" w:eastAsia="Calibri" w:hAnsi="Cambria" w:cs="Calibri"/>
                <w:color w:val="000000"/>
                <w:sz w:val="24"/>
                <w:szCs w:val="24"/>
                <w:lang w:val="en-US"/>
              </w:rPr>
              <w:t xml:space="preserve">-149. </w:t>
            </w:r>
            <w:proofErr w:type="spellStart"/>
            <w:r w:rsidRPr="00684AAB">
              <w:rPr>
                <w:rFonts w:ascii="Cambria" w:eastAsia="Calibri" w:hAnsi="Cambria" w:cs="Calibri"/>
                <w:color w:val="000000"/>
                <w:sz w:val="24"/>
                <w:szCs w:val="24"/>
                <w:lang w:val="en-US"/>
              </w:rPr>
              <w:t>doi</w:t>
            </w:r>
            <w:proofErr w:type="spellEnd"/>
            <w:r w:rsidRPr="00684AAB">
              <w:rPr>
                <w:rFonts w:ascii="Cambria" w:eastAsia="Calibri" w:hAnsi="Cambria" w:cs="Calibri"/>
                <w:color w:val="000000"/>
                <w:sz w:val="24"/>
                <w:szCs w:val="24"/>
                <w:lang w:val="en-US"/>
              </w:rPr>
              <w:t>: 10.2147/JPR.S436500.</w:t>
            </w:r>
          </w:p>
        </w:tc>
      </w:tr>
    </w:tbl>
    <w:p w14:paraId="6EBBAA6A" w14:textId="77777777" w:rsidR="002D1216" w:rsidRPr="002D1216" w:rsidRDefault="002D1216" w:rsidP="002B0F75">
      <w:pPr>
        <w:spacing w:after="0" w:line="360" w:lineRule="auto"/>
        <w:rPr>
          <w:rFonts w:ascii="Cambria" w:eastAsia="Calibri" w:hAnsi="Cambria" w:cs="Calibri"/>
          <w:b/>
          <w:bCs/>
          <w:i/>
          <w:iCs/>
          <w:color w:val="000000"/>
          <w:sz w:val="24"/>
          <w:szCs w:val="24"/>
        </w:rPr>
      </w:pPr>
      <w:r w:rsidRPr="002D1216">
        <w:rPr>
          <w:rFonts w:ascii="Cambria" w:eastAsia="Calibri" w:hAnsi="Cambria" w:cs="Calibri"/>
          <w:b/>
          <w:bCs/>
          <w:i/>
          <w:iCs/>
          <w:color w:val="000000"/>
          <w:sz w:val="24"/>
          <w:szCs w:val="24"/>
        </w:rPr>
        <w:br w:type="page"/>
      </w:r>
    </w:p>
    <w:p w14:paraId="6DC8737E" w14:textId="77777777" w:rsidR="006067ED" w:rsidRDefault="00CD2F5C" w:rsidP="00684AAB">
      <w:pPr>
        <w:pStyle w:val="Heading1"/>
      </w:pPr>
      <w:bookmarkStart w:id="163" w:name="_Toc181362883"/>
      <w:bookmarkEnd w:id="162"/>
      <w:r>
        <w:lastRenderedPageBreak/>
        <w:t xml:space="preserve">Chapter 5: </w:t>
      </w:r>
      <w:r w:rsidR="1F720F57">
        <w:t>Discussion</w:t>
      </w:r>
      <w:bookmarkEnd w:id="163"/>
    </w:p>
    <w:p w14:paraId="2ECFB803" w14:textId="6C462E9F" w:rsidR="75FD6E45" w:rsidRDefault="173351A6"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t xml:space="preserve">Although </w:t>
      </w:r>
      <w:r w:rsidR="75FD6E45" w:rsidRPr="66A0210A">
        <w:rPr>
          <w:rFonts w:ascii="Cambria" w:eastAsia="Cambria" w:hAnsi="Cambria" w:cs="Cambria"/>
          <w:color w:val="000000" w:themeColor="text1"/>
          <w:sz w:val="24"/>
          <w:szCs w:val="24"/>
        </w:rPr>
        <w:t xml:space="preserve">several factors, such as childhood adversity, have been identified that may increase an individual’s predisposition </w:t>
      </w:r>
      <w:r w:rsidR="00AE75F3">
        <w:rPr>
          <w:rFonts w:ascii="Cambria" w:eastAsia="Cambria" w:hAnsi="Cambria" w:cs="Cambria"/>
          <w:color w:val="000000" w:themeColor="text1"/>
          <w:sz w:val="24"/>
          <w:szCs w:val="24"/>
        </w:rPr>
        <w:t xml:space="preserve">or vulnerability </w:t>
      </w:r>
      <w:r w:rsidR="75FD6E45" w:rsidRPr="66A0210A">
        <w:rPr>
          <w:rFonts w:ascii="Cambria" w:eastAsia="Cambria" w:hAnsi="Cambria" w:cs="Cambria"/>
          <w:color w:val="000000" w:themeColor="text1"/>
          <w:sz w:val="24"/>
          <w:szCs w:val="24"/>
        </w:rPr>
        <w:t>to an anxiety or a stress disorder and potential physical consequences such as chronic pain, the biological mechanisms underpinning these disorders are not yet fully understood (Kennedy &amp; Niedzwiedz 2021). The two overarching aims of this thesis were first, to summarise the existing literature on the relationship between ACEs and anxiety and chronic pain experiences in adults. Second, to examine these associations, as well as the potential impact of inflammatory biomarker CRP, within large, representative cohorts. An exploratory analysis also examined medication use for chronic pain. Across all studies, it was hypothesised that there would be a significant association between ACEs, anxiety, and chronic pain experiences, and that CRP may also relate to some or all of these variables. The findings from this thesis partially supported the initial hypotheses in that both ACEs and anxiety influenced chronic pain experience in adults based on the systematic literature review, meta-analysis, and UK-based study that included CRP, but anxiety did not seem to play a meaningful role in the US-based study which also accounted for socio</w:t>
      </w:r>
      <w:r w:rsidR="4F6E5AD1" w:rsidRPr="66A0210A">
        <w:rPr>
          <w:rFonts w:ascii="Cambria" w:eastAsia="Cambria" w:hAnsi="Cambria" w:cs="Cambria"/>
          <w:color w:val="000000" w:themeColor="text1"/>
          <w:sz w:val="24"/>
          <w:szCs w:val="24"/>
        </w:rPr>
        <w:t>-</w:t>
      </w:r>
      <w:r w:rsidR="75FD6E45" w:rsidRPr="66A0210A">
        <w:rPr>
          <w:rFonts w:ascii="Cambria" w:eastAsia="Cambria" w:hAnsi="Cambria" w:cs="Cambria"/>
          <w:color w:val="000000" w:themeColor="text1"/>
          <w:sz w:val="24"/>
          <w:szCs w:val="24"/>
        </w:rPr>
        <w:t>demographic variables and pain medication use. The results of these analyses add to the existing literature and expand the understanding of the potential relationships involved in ACEs, anxiety, and CRP and how they impact chronic pain experiences in adults. An overview of the specific findings and their implications from each study is discussed below.</w:t>
      </w:r>
    </w:p>
    <w:p w14:paraId="63F0854D" w14:textId="6A9EC69A" w:rsidR="6E2346AC" w:rsidRDefault="6E2346AC" w:rsidP="00861CD3">
      <w:pPr>
        <w:spacing w:line="360" w:lineRule="auto"/>
        <w:rPr>
          <w:rFonts w:ascii="Cambria" w:eastAsia="Cambria" w:hAnsi="Cambria" w:cs="Cambria"/>
          <w:color w:val="000000" w:themeColor="text1"/>
          <w:sz w:val="24"/>
          <w:szCs w:val="24"/>
        </w:rPr>
      </w:pPr>
    </w:p>
    <w:p w14:paraId="3CB14C60" w14:textId="4F71455F" w:rsidR="6E2346AC" w:rsidRDefault="6E2346AC" w:rsidP="00861CD3">
      <w:pPr>
        <w:spacing w:line="360" w:lineRule="auto"/>
        <w:rPr>
          <w:rFonts w:ascii="Cambria" w:eastAsia="Cambria" w:hAnsi="Cambria" w:cs="Cambria"/>
          <w:color w:val="000000" w:themeColor="text1"/>
          <w:sz w:val="24"/>
          <w:szCs w:val="24"/>
        </w:rPr>
      </w:pPr>
    </w:p>
    <w:p w14:paraId="731D026F" w14:textId="77777777" w:rsidR="006067ED" w:rsidRDefault="006067ED">
      <w:pPr>
        <w:rPr>
          <w:rFonts w:ascii="Cambria" w:eastAsia="Cambria" w:hAnsi="Cambria" w:cs="Cambria"/>
          <w:b/>
          <w:bCs/>
          <w:i/>
          <w:iCs/>
          <w:color w:val="000000" w:themeColor="text1"/>
          <w:sz w:val="24"/>
          <w:szCs w:val="24"/>
        </w:rPr>
      </w:pPr>
      <w:r>
        <w:rPr>
          <w:rFonts w:ascii="Cambria" w:eastAsia="Cambria" w:hAnsi="Cambria" w:cs="Cambria"/>
          <w:b/>
          <w:bCs/>
          <w:i/>
          <w:iCs/>
          <w:color w:val="000000" w:themeColor="text1"/>
          <w:sz w:val="24"/>
          <w:szCs w:val="24"/>
        </w:rPr>
        <w:br w:type="page"/>
      </w:r>
    </w:p>
    <w:p w14:paraId="6FBAA13A" w14:textId="5CA9A49D" w:rsidR="75FD6E45" w:rsidRDefault="75FD6E45" w:rsidP="002B0F75">
      <w:pPr>
        <w:spacing w:line="360" w:lineRule="auto"/>
        <w:rPr>
          <w:rFonts w:ascii="Cambria" w:eastAsia="Cambria" w:hAnsi="Cambria" w:cs="Cambria"/>
          <w:color w:val="000000" w:themeColor="text1"/>
          <w:sz w:val="24"/>
          <w:szCs w:val="24"/>
        </w:rPr>
      </w:pPr>
      <w:r w:rsidRPr="6E2346AC">
        <w:rPr>
          <w:rFonts w:ascii="Cambria" w:eastAsia="Cambria" w:hAnsi="Cambria" w:cs="Cambria"/>
          <w:b/>
          <w:bCs/>
          <w:i/>
          <w:iCs/>
          <w:color w:val="000000" w:themeColor="text1"/>
          <w:sz w:val="24"/>
          <w:szCs w:val="24"/>
        </w:rPr>
        <w:lastRenderedPageBreak/>
        <w:t>Systematic Review Findings</w:t>
      </w:r>
    </w:p>
    <w:p w14:paraId="658A8F4E" w14:textId="4F442D90" w:rsidR="75FD6E45" w:rsidRDefault="75FD6E45" w:rsidP="002B0F75">
      <w:pPr>
        <w:spacing w:line="360" w:lineRule="auto"/>
        <w:rPr>
          <w:rFonts w:ascii="Cambria" w:eastAsia="Cambria" w:hAnsi="Cambria" w:cs="Cambria"/>
          <w:color w:val="000000" w:themeColor="text1"/>
          <w:sz w:val="24"/>
          <w:szCs w:val="24"/>
        </w:rPr>
      </w:pPr>
      <w:r w:rsidRPr="5F4A1D07">
        <w:rPr>
          <w:rFonts w:ascii="Cambria" w:eastAsia="Cambria" w:hAnsi="Cambria" w:cs="Cambria"/>
          <w:color w:val="000000" w:themeColor="text1"/>
          <w:sz w:val="24"/>
          <w:szCs w:val="24"/>
        </w:rPr>
        <w:t xml:space="preserve">From the systematic review in Chapter 2, the narrative summary indicated there was a significant association between childhood adversities, anxiety, and chronic pain experiences in adults. The meta-analyses showed moderate associations between anxiety and chronic pain as well as between ACEs and anxiety and found that participants who experienced ACEs are almost twice as likely to present with chronic pain during adulthood. </w:t>
      </w:r>
      <w:r w:rsidRPr="002B0F75">
        <w:rPr>
          <w:rFonts w:ascii="Cambria" w:eastAsia="Cambria" w:hAnsi="Cambria" w:cs="Cambria"/>
          <w:sz w:val="24"/>
          <w:szCs w:val="24"/>
        </w:rPr>
        <w:t>This is in line with past research that has clearly indicated long-term effects of ACEs on a variety of developmental problems, negative adult health outcomes (both psychological and physical), risky health behaviours, increased healthcare use, and higher financial burden (</w:t>
      </w:r>
      <w:proofErr w:type="spellStart"/>
      <w:r w:rsidRPr="002B0F75">
        <w:rPr>
          <w:rFonts w:ascii="Cambria" w:eastAsia="Cambria" w:hAnsi="Cambria" w:cs="Cambria"/>
          <w:sz w:val="24"/>
          <w:szCs w:val="24"/>
        </w:rPr>
        <w:t>Bussières</w:t>
      </w:r>
      <w:proofErr w:type="spellEnd"/>
      <w:r w:rsidRPr="002B0F75">
        <w:rPr>
          <w:rFonts w:ascii="Cambria" w:eastAsia="Cambria" w:hAnsi="Cambria" w:cs="Cambria"/>
          <w:sz w:val="24"/>
          <w:szCs w:val="24"/>
        </w:rPr>
        <w:t xml:space="preserve"> et al. 2020). Additionally, patients who experience chronic pain may struggle with functioning in daily life and with keeping up with social activity, which is more commonly attributed to mental health issues like anxiety versus the daily experience of being in pain (Dueñas et al., 2016).</w:t>
      </w:r>
      <w:r w:rsidRPr="002B0F75">
        <w:rPr>
          <w:rFonts w:ascii="Calibri" w:eastAsia="Calibri" w:hAnsi="Calibri" w:cs="Calibri"/>
        </w:rPr>
        <w:t xml:space="preserve"> </w:t>
      </w:r>
      <w:r w:rsidRPr="002B0F75">
        <w:rPr>
          <w:rFonts w:ascii="Cambria" w:eastAsia="Cambria" w:hAnsi="Cambria" w:cs="Cambria"/>
          <w:sz w:val="24"/>
          <w:szCs w:val="24"/>
        </w:rPr>
        <w:t xml:space="preserve">The review portion of this thesis was original in attempting to summarise the associations between all three variables, particularly indicating that anxiety could be influencing the association between ACEs and chronic pain. Studies featuring ACE prevalence and their long-term </w:t>
      </w:r>
      <w:r w:rsidR="00641AF7" w:rsidRPr="002B0F75">
        <w:rPr>
          <w:rFonts w:ascii="Cambria" w:eastAsia="Cambria" w:hAnsi="Cambria" w:cs="Cambria"/>
          <w:sz w:val="24"/>
          <w:szCs w:val="24"/>
        </w:rPr>
        <w:t xml:space="preserve">effects </w:t>
      </w:r>
      <w:r w:rsidRPr="002B0F75">
        <w:rPr>
          <w:rFonts w:ascii="Cambria" w:eastAsia="Cambria" w:hAnsi="Cambria" w:cs="Cambria"/>
          <w:sz w:val="24"/>
          <w:szCs w:val="24"/>
        </w:rPr>
        <w:t xml:space="preserve">are </w:t>
      </w:r>
      <w:r w:rsidRPr="5F4A1D07">
        <w:rPr>
          <w:rFonts w:ascii="Cambria" w:eastAsia="Cambria" w:hAnsi="Cambria" w:cs="Cambria"/>
          <w:color w:val="000000" w:themeColor="text1"/>
          <w:sz w:val="24"/>
          <w:szCs w:val="24"/>
        </w:rPr>
        <w:t xml:space="preserve">informative for </w:t>
      </w:r>
      <w:r w:rsidR="5B72E424" w:rsidRPr="5F4A1D07">
        <w:rPr>
          <w:rFonts w:ascii="Cambria" w:eastAsia="Cambria" w:hAnsi="Cambria" w:cs="Cambria"/>
          <w:color w:val="000000" w:themeColor="text1"/>
          <w:sz w:val="24"/>
          <w:szCs w:val="24"/>
        </w:rPr>
        <w:t xml:space="preserve">understanding </w:t>
      </w:r>
      <w:r w:rsidRPr="5F4A1D07">
        <w:rPr>
          <w:rFonts w:ascii="Cambria" w:eastAsia="Cambria" w:hAnsi="Cambria" w:cs="Cambria"/>
          <w:color w:val="000000" w:themeColor="text1"/>
          <w:sz w:val="24"/>
          <w:szCs w:val="24"/>
        </w:rPr>
        <w:t xml:space="preserve">the </w:t>
      </w:r>
      <w:r w:rsidR="109A3EDA" w:rsidRPr="5F4A1D07">
        <w:rPr>
          <w:rFonts w:ascii="Cambria" w:eastAsia="Cambria" w:hAnsi="Cambria" w:cs="Cambria"/>
          <w:color w:val="000000" w:themeColor="text1"/>
          <w:sz w:val="24"/>
          <w:szCs w:val="24"/>
        </w:rPr>
        <w:t>differences in</w:t>
      </w:r>
      <w:r w:rsidR="389F570A" w:rsidRPr="5F4A1D07">
        <w:rPr>
          <w:rFonts w:ascii="Cambria" w:eastAsia="Cambria" w:hAnsi="Cambria" w:cs="Cambria"/>
          <w:color w:val="000000" w:themeColor="text1"/>
          <w:sz w:val="24"/>
          <w:szCs w:val="24"/>
        </w:rPr>
        <w:t xml:space="preserve"> the</w:t>
      </w:r>
      <w:r w:rsidR="109A3EDA" w:rsidRPr="5F4A1D07">
        <w:rPr>
          <w:rFonts w:ascii="Cambria" w:eastAsia="Cambria" w:hAnsi="Cambria" w:cs="Cambria"/>
          <w:color w:val="000000" w:themeColor="text1"/>
          <w:sz w:val="24"/>
          <w:szCs w:val="24"/>
        </w:rPr>
        <w:t xml:space="preserve"> </w:t>
      </w:r>
      <w:r w:rsidRPr="5F4A1D07">
        <w:rPr>
          <w:rFonts w:ascii="Cambria" w:eastAsia="Cambria" w:hAnsi="Cambria" w:cs="Cambria"/>
          <w:color w:val="000000" w:themeColor="text1"/>
          <w:sz w:val="24"/>
          <w:szCs w:val="24"/>
        </w:rPr>
        <w:t xml:space="preserve">impact of one ACE </w:t>
      </w:r>
      <w:r w:rsidR="074C1C8E" w:rsidRPr="5F4A1D07">
        <w:rPr>
          <w:rFonts w:ascii="Cambria" w:eastAsia="Cambria" w:hAnsi="Cambria" w:cs="Cambria"/>
          <w:color w:val="000000" w:themeColor="text1"/>
          <w:sz w:val="24"/>
          <w:szCs w:val="24"/>
        </w:rPr>
        <w:t xml:space="preserve">compared </w:t>
      </w:r>
      <w:r w:rsidRPr="5F4A1D07">
        <w:rPr>
          <w:rFonts w:ascii="Cambria" w:eastAsia="Cambria" w:hAnsi="Cambria" w:cs="Cambria"/>
          <w:color w:val="000000" w:themeColor="text1"/>
          <w:sz w:val="24"/>
          <w:szCs w:val="24"/>
        </w:rPr>
        <w:t>to multiple ACEs</w:t>
      </w:r>
      <w:r w:rsidR="33C18557" w:rsidRPr="5F4A1D07">
        <w:rPr>
          <w:rFonts w:ascii="Cambria" w:eastAsia="Cambria" w:hAnsi="Cambria" w:cs="Cambria"/>
          <w:color w:val="000000" w:themeColor="text1"/>
          <w:sz w:val="24"/>
          <w:szCs w:val="24"/>
        </w:rPr>
        <w:t>. However</w:t>
      </w:r>
      <w:r w:rsidRPr="5F4A1D07">
        <w:rPr>
          <w:rFonts w:ascii="Cambria" w:eastAsia="Cambria" w:hAnsi="Cambria" w:cs="Cambria"/>
          <w:color w:val="000000" w:themeColor="text1"/>
          <w:sz w:val="24"/>
          <w:szCs w:val="24"/>
        </w:rPr>
        <w:t xml:space="preserve">, a gap remains on implementing </w:t>
      </w:r>
      <w:r w:rsidR="50ABCD93" w:rsidRPr="5F4A1D07">
        <w:rPr>
          <w:rFonts w:ascii="Cambria" w:eastAsia="Cambria" w:hAnsi="Cambria" w:cs="Cambria"/>
          <w:color w:val="000000" w:themeColor="text1"/>
          <w:sz w:val="24"/>
          <w:szCs w:val="24"/>
        </w:rPr>
        <w:t xml:space="preserve">practical </w:t>
      </w:r>
      <w:r w:rsidRPr="5F4A1D07">
        <w:rPr>
          <w:rFonts w:ascii="Cambria" w:eastAsia="Cambria" w:hAnsi="Cambria" w:cs="Cambria"/>
          <w:color w:val="000000" w:themeColor="text1"/>
          <w:sz w:val="24"/>
          <w:szCs w:val="24"/>
        </w:rPr>
        <w:t>changes with the insight gained</w:t>
      </w:r>
      <w:r w:rsidR="50B8DE72" w:rsidRPr="5F4A1D07">
        <w:rPr>
          <w:rFonts w:ascii="Cambria" w:eastAsia="Cambria" w:hAnsi="Cambria" w:cs="Cambria"/>
          <w:color w:val="000000" w:themeColor="text1"/>
          <w:sz w:val="24"/>
          <w:szCs w:val="24"/>
        </w:rPr>
        <w:t xml:space="preserve"> from</w:t>
      </w:r>
      <w:r w:rsidRPr="5F4A1D07">
        <w:rPr>
          <w:rFonts w:ascii="Cambria" w:eastAsia="Cambria" w:hAnsi="Cambria" w:cs="Cambria"/>
          <w:color w:val="000000" w:themeColor="text1"/>
          <w:sz w:val="24"/>
          <w:szCs w:val="24"/>
        </w:rPr>
        <w:t xml:space="preserve"> </w:t>
      </w:r>
      <w:r w:rsidR="50B8DE72" w:rsidRPr="5F4A1D07">
        <w:rPr>
          <w:rFonts w:ascii="Cambria" w:eastAsia="Cambria" w:hAnsi="Cambria" w:cs="Cambria"/>
          <w:color w:val="000000" w:themeColor="text1"/>
          <w:sz w:val="24"/>
          <w:szCs w:val="24"/>
        </w:rPr>
        <w:t>such studies</w:t>
      </w:r>
      <w:r w:rsidR="6121F1F8" w:rsidRPr="5F4A1D07">
        <w:rPr>
          <w:rFonts w:ascii="Cambria" w:eastAsia="Cambria" w:hAnsi="Cambria" w:cs="Cambria"/>
          <w:color w:val="000000" w:themeColor="text1"/>
          <w:sz w:val="24"/>
          <w:szCs w:val="24"/>
        </w:rPr>
        <w:t>.</w:t>
      </w:r>
      <w:r w:rsidR="50B8DE72" w:rsidRPr="5F4A1D07">
        <w:rPr>
          <w:rFonts w:ascii="Cambria" w:eastAsia="Cambria" w:hAnsi="Cambria" w:cs="Cambria"/>
          <w:color w:val="000000" w:themeColor="text1"/>
          <w:sz w:val="24"/>
          <w:szCs w:val="24"/>
        </w:rPr>
        <w:t xml:space="preserve"> </w:t>
      </w:r>
      <w:r w:rsidRPr="5F4A1D07">
        <w:rPr>
          <w:rFonts w:ascii="Cambria" w:eastAsia="Cambria" w:hAnsi="Cambria" w:cs="Cambria"/>
          <w:color w:val="000000" w:themeColor="text1"/>
          <w:sz w:val="24"/>
          <w:szCs w:val="24"/>
        </w:rPr>
        <w:t xml:space="preserve">For example, </w:t>
      </w:r>
      <w:r w:rsidR="78847331" w:rsidRPr="5F4A1D07">
        <w:rPr>
          <w:rFonts w:ascii="Cambria" w:eastAsia="Cambria" w:hAnsi="Cambria" w:cs="Cambria"/>
          <w:color w:val="000000" w:themeColor="text1"/>
          <w:sz w:val="24"/>
          <w:szCs w:val="24"/>
        </w:rPr>
        <w:t xml:space="preserve">in </w:t>
      </w:r>
      <w:r w:rsidRPr="5F4A1D07">
        <w:rPr>
          <w:rFonts w:ascii="Cambria" w:eastAsia="Cambria" w:hAnsi="Cambria" w:cs="Cambria"/>
          <w:color w:val="000000" w:themeColor="text1"/>
          <w:sz w:val="24"/>
          <w:szCs w:val="24"/>
        </w:rPr>
        <w:t xml:space="preserve">policy and work settings ACE-related information could be incorporated and applied </w:t>
      </w:r>
      <w:r w:rsidR="00641AF7" w:rsidRPr="5F4A1D07">
        <w:rPr>
          <w:rFonts w:ascii="Cambria" w:eastAsia="Cambria" w:hAnsi="Cambria" w:cs="Cambria"/>
          <w:color w:val="000000" w:themeColor="text1"/>
          <w:sz w:val="24"/>
          <w:szCs w:val="24"/>
        </w:rPr>
        <w:t>via</w:t>
      </w:r>
      <w:r w:rsidRPr="5F4A1D07">
        <w:rPr>
          <w:rFonts w:ascii="Cambria" w:eastAsia="Cambria" w:hAnsi="Cambria" w:cs="Cambria"/>
          <w:color w:val="000000" w:themeColor="text1"/>
          <w:sz w:val="24"/>
          <w:szCs w:val="24"/>
        </w:rPr>
        <w:t xml:space="preserve"> offering discrete screening options for employees on risk </w:t>
      </w:r>
      <w:r w:rsidR="6DDFEACA" w:rsidRPr="5F4A1D07">
        <w:rPr>
          <w:rFonts w:ascii="Cambria" w:eastAsia="Cambria" w:hAnsi="Cambria" w:cs="Cambria"/>
          <w:color w:val="000000" w:themeColor="text1"/>
          <w:sz w:val="24"/>
          <w:szCs w:val="24"/>
        </w:rPr>
        <w:t>factors and</w:t>
      </w:r>
      <w:r w:rsidRPr="5F4A1D07">
        <w:rPr>
          <w:rFonts w:ascii="Cambria" w:eastAsia="Cambria" w:hAnsi="Cambria" w:cs="Cambria"/>
          <w:color w:val="000000" w:themeColor="text1"/>
          <w:sz w:val="24"/>
          <w:szCs w:val="24"/>
        </w:rPr>
        <w:t xml:space="preserve"> providing appropriate accommodations if present.</w:t>
      </w:r>
    </w:p>
    <w:p w14:paraId="2F2BBDB6" w14:textId="2A6C0D03" w:rsidR="6E2346AC" w:rsidRDefault="6E2346AC" w:rsidP="00861CD3">
      <w:pPr>
        <w:spacing w:line="360" w:lineRule="auto"/>
        <w:rPr>
          <w:rFonts w:ascii="Cambria" w:eastAsia="Cambria" w:hAnsi="Cambria" w:cs="Cambria"/>
          <w:color w:val="000000" w:themeColor="text1"/>
          <w:sz w:val="24"/>
          <w:szCs w:val="24"/>
        </w:rPr>
      </w:pPr>
    </w:p>
    <w:p w14:paraId="4B800A2C" w14:textId="1BA75384" w:rsidR="75FD6E45" w:rsidRDefault="1D9523C4" w:rsidP="002B0F75">
      <w:pPr>
        <w:spacing w:line="360" w:lineRule="auto"/>
        <w:rPr>
          <w:rFonts w:ascii="Cambria" w:eastAsia="Cambria" w:hAnsi="Cambria" w:cs="Cambria"/>
          <w:b/>
          <w:bCs/>
          <w:i/>
          <w:iCs/>
          <w:color w:val="000000" w:themeColor="text1"/>
          <w:sz w:val="24"/>
          <w:szCs w:val="24"/>
        </w:rPr>
      </w:pPr>
      <w:r w:rsidRPr="13B33B62">
        <w:rPr>
          <w:rFonts w:ascii="Cambria" w:eastAsia="Cambria" w:hAnsi="Cambria" w:cs="Cambria"/>
          <w:b/>
          <w:bCs/>
          <w:i/>
          <w:iCs/>
          <w:color w:val="000000" w:themeColor="text1"/>
          <w:sz w:val="24"/>
          <w:szCs w:val="24"/>
        </w:rPr>
        <w:t xml:space="preserve"> UK Biobank Findings</w:t>
      </w:r>
    </w:p>
    <w:p w14:paraId="4ECABCBA" w14:textId="38A1999E" w:rsidR="75FD6E45" w:rsidRPr="007C3AC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The UK analyses of the Biobank data in Chapter 3 showed</w:t>
      </w:r>
      <w:r w:rsidRPr="13B33B62">
        <w:rPr>
          <w:rFonts w:ascii="Calibri" w:eastAsia="Calibri" w:hAnsi="Calibri" w:cs="Calibri"/>
          <w:color w:val="000000" w:themeColor="text1"/>
        </w:rPr>
        <w:t xml:space="preserve"> </w:t>
      </w:r>
      <w:r w:rsidRPr="13B33B62">
        <w:rPr>
          <w:rFonts w:ascii="Cambria" w:eastAsia="Cambria" w:hAnsi="Cambria" w:cs="Cambria"/>
          <w:color w:val="000000" w:themeColor="text1"/>
          <w:sz w:val="24"/>
          <w:szCs w:val="24"/>
        </w:rPr>
        <w:t>three statistically significant interactions were found to predict pain; frequency of physical abuse and reported muscular symptoms during anxiety, frequency in which they felt hated and having discussed anxiety with a professional, and</w:t>
      </w:r>
      <w:r w:rsidR="0B8BBD94" w:rsidRPr="13B33B62">
        <w:rPr>
          <w:rFonts w:ascii="Cambria" w:eastAsia="Cambria" w:hAnsi="Cambria" w:cs="Cambria"/>
          <w:color w:val="000000" w:themeColor="text1"/>
          <w:sz w:val="24"/>
          <w:szCs w:val="24"/>
        </w:rPr>
        <w:t>,</w:t>
      </w:r>
      <w:r w:rsidRPr="13B33B62">
        <w:rPr>
          <w:rFonts w:ascii="Cambria" w:eastAsia="Cambria" w:hAnsi="Cambria" w:cs="Cambria"/>
          <w:color w:val="000000" w:themeColor="text1"/>
          <w:sz w:val="24"/>
          <w:szCs w:val="24"/>
        </w:rPr>
        <w:t xml:space="preserve"> reported frequency of sexual abuse and difficulties relaxing during anxiety attacks. </w:t>
      </w:r>
      <w:r w:rsidR="00BC32FA" w:rsidRPr="13B33B62">
        <w:rPr>
          <w:rFonts w:ascii="Cambria" w:eastAsia="Cambria" w:hAnsi="Cambria" w:cs="Cambria"/>
          <w:color w:val="000000" w:themeColor="text1"/>
          <w:sz w:val="24"/>
          <w:szCs w:val="24"/>
        </w:rPr>
        <w:t xml:space="preserve">This was in line with recent research on adult patients seeking acute treatment for an anxiety disorder (i.e., panic disorder, social phobia, </w:t>
      </w:r>
      <w:r w:rsidR="00BC32FA" w:rsidRPr="13B33B62">
        <w:rPr>
          <w:rFonts w:ascii="Cambria" w:eastAsia="Cambria" w:hAnsi="Cambria" w:cs="Cambria"/>
          <w:color w:val="000000" w:themeColor="text1"/>
          <w:sz w:val="24"/>
          <w:szCs w:val="24"/>
        </w:rPr>
        <w:lastRenderedPageBreak/>
        <w:t>or generalized anxiety disorder), which showed that in patients with comorbid anxiety disorders or with comorbid depression, those presenting with panic disorder demonstrated higher frequency of childhood physical or sexual abuse (</w:t>
      </w:r>
      <w:proofErr w:type="spellStart"/>
      <w:r w:rsidR="00BC32FA" w:rsidRPr="13B33B62">
        <w:rPr>
          <w:rFonts w:ascii="Cambria" w:eastAsia="Cambria" w:hAnsi="Cambria" w:cs="Cambria"/>
          <w:color w:val="000000" w:themeColor="text1"/>
          <w:sz w:val="24"/>
          <w:szCs w:val="24"/>
        </w:rPr>
        <w:t>Safren</w:t>
      </w:r>
      <w:proofErr w:type="spellEnd"/>
      <w:r w:rsidR="00BC32FA" w:rsidRPr="13B33B62">
        <w:rPr>
          <w:rFonts w:ascii="Cambria" w:eastAsia="Cambria" w:hAnsi="Cambria" w:cs="Cambria"/>
          <w:color w:val="000000" w:themeColor="text1"/>
          <w:sz w:val="24"/>
          <w:szCs w:val="24"/>
        </w:rPr>
        <w:t xml:space="preserve"> et al. 2022). </w:t>
      </w:r>
      <w:r w:rsidR="4769C449" w:rsidRPr="13B33B62">
        <w:rPr>
          <w:rFonts w:ascii="Cambria" w:eastAsia="Cambria" w:hAnsi="Cambria" w:cs="Cambria"/>
          <w:color w:val="000000" w:themeColor="text1"/>
          <w:sz w:val="24"/>
          <w:szCs w:val="24"/>
        </w:rPr>
        <w:t xml:space="preserve">However, this study did not include pain as an outcome of childhood abuse and anxiety disorders. </w:t>
      </w:r>
      <w:r w:rsidR="00861CD3">
        <w:rPr>
          <w:rFonts w:ascii="Cambria" w:eastAsia="Cambria" w:hAnsi="Cambria" w:cs="Cambria"/>
          <w:color w:val="000000" w:themeColor="text1"/>
          <w:sz w:val="24"/>
          <w:szCs w:val="24"/>
        </w:rPr>
        <w:t>Another study demonstrated</w:t>
      </w:r>
      <w:r w:rsidR="00861CD3" w:rsidRPr="00861CD3">
        <w:rPr>
          <w:rFonts w:ascii="Cambria" w:eastAsia="Cambria" w:hAnsi="Cambria" w:cs="Cambria"/>
          <w:color w:val="000000" w:themeColor="text1"/>
          <w:sz w:val="24"/>
          <w:szCs w:val="24"/>
        </w:rPr>
        <w:t xml:space="preserve"> that posttraumatic stress symptoms moderate the relationship between ACEs and anxiety and depressive symptoms in youth with chronic pain</w:t>
      </w:r>
      <w:r w:rsidR="008A1FAF">
        <w:rPr>
          <w:rFonts w:ascii="Cambria" w:eastAsia="Cambria" w:hAnsi="Cambria" w:cs="Cambria"/>
          <w:color w:val="000000" w:themeColor="text1"/>
          <w:sz w:val="24"/>
          <w:szCs w:val="24"/>
        </w:rPr>
        <w:t xml:space="preserve"> (Nelson et al. 2021)</w:t>
      </w:r>
      <w:r w:rsidR="00861CD3">
        <w:rPr>
          <w:rFonts w:ascii="Cambria" w:eastAsia="Cambria" w:hAnsi="Cambria" w:cs="Cambria"/>
          <w:color w:val="000000" w:themeColor="text1"/>
          <w:sz w:val="24"/>
          <w:szCs w:val="24"/>
        </w:rPr>
        <w:t>, however, this study paired anxiety and depression together. These</w:t>
      </w:r>
      <w:r w:rsidR="008A1FAF">
        <w:rPr>
          <w:rFonts w:ascii="Cambria" w:eastAsia="Cambria" w:hAnsi="Cambria" w:cs="Cambria"/>
          <w:color w:val="000000" w:themeColor="text1"/>
          <w:sz w:val="24"/>
          <w:szCs w:val="24"/>
        </w:rPr>
        <w:t xml:space="preserve"> studies</w:t>
      </w:r>
      <w:r w:rsidR="00861CD3">
        <w:rPr>
          <w:rFonts w:ascii="Cambria" w:eastAsia="Cambria" w:hAnsi="Cambria" w:cs="Cambria"/>
          <w:color w:val="000000" w:themeColor="text1"/>
          <w:sz w:val="24"/>
          <w:szCs w:val="24"/>
        </w:rPr>
        <w:t xml:space="preserve"> highlight the paucity of research </w:t>
      </w:r>
      <w:r w:rsidR="008A1FAF">
        <w:rPr>
          <w:rFonts w:ascii="Cambria" w:eastAsia="Cambria" w:hAnsi="Cambria" w:cs="Cambria"/>
          <w:color w:val="000000" w:themeColor="text1"/>
          <w:sz w:val="24"/>
          <w:szCs w:val="24"/>
        </w:rPr>
        <w:t xml:space="preserve">specifically </w:t>
      </w:r>
      <w:r w:rsidR="00861CD3">
        <w:rPr>
          <w:rFonts w:ascii="Cambria" w:eastAsia="Cambria" w:hAnsi="Cambria" w:cs="Cambria"/>
          <w:color w:val="000000" w:themeColor="text1"/>
          <w:sz w:val="24"/>
          <w:szCs w:val="24"/>
        </w:rPr>
        <w:t>examining ACE history and anxiety</w:t>
      </w:r>
      <w:r w:rsidR="008A1FAF">
        <w:rPr>
          <w:rFonts w:ascii="Cambria" w:eastAsia="Cambria" w:hAnsi="Cambria" w:cs="Cambria"/>
          <w:color w:val="000000" w:themeColor="text1"/>
          <w:sz w:val="24"/>
          <w:szCs w:val="24"/>
        </w:rPr>
        <w:t xml:space="preserve"> in predicting chronic pain risk in adults.</w:t>
      </w:r>
    </w:p>
    <w:p w14:paraId="4E628A5A" w14:textId="0E184A80"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Additionally, </w:t>
      </w:r>
      <w:r w:rsidR="2A5D0C0C" w:rsidRPr="13B33B62">
        <w:rPr>
          <w:rFonts w:ascii="Cambria" w:eastAsia="Cambria" w:hAnsi="Cambria" w:cs="Cambria"/>
          <w:color w:val="000000" w:themeColor="text1"/>
          <w:sz w:val="24"/>
          <w:szCs w:val="24"/>
        </w:rPr>
        <w:t xml:space="preserve">the Biobank data showed that </w:t>
      </w:r>
      <w:r w:rsidRPr="13B33B62">
        <w:rPr>
          <w:rFonts w:ascii="Cambria" w:eastAsia="Cambria" w:hAnsi="Cambria" w:cs="Cambria"/>
          <w:color w:val="000000" w:themeColor="text1"/>
          <w:sz w:val="24"/>
          <w:szCs w:val="24"/>
        </w:rPr>
        <w:t>the frequency of sexual abuse and informing a professional about anxiety significantly interacted to predict elevated CRP. For correlations, the largest was between elevated CRP and the number of times pain was reported over the years. Finally</w:t>
      </w:r>
      <w:r w:rsidR="005F2B59">
        <w:rPr>
          <w:rFonts w:ascii="Cambria" w:eastAsia="Cambria" w:hAnsi="Cambria" w:cs="Cambria"/>
          <w:color w:val="000000" w:themeColor="text1"/>
          <w:sz w:val="24"/>
          <w:szCs w:val="24"/>
        </w:rPr>
        <w:t>,</w:t>
      </w:r>
      <w:r w:rsidR="005F2B59" w:rsidRPr="002B0F75">
        <w:rPr>
          <w:rFonts w:ascii="Cambria" w:eastAsia="Cambria" w:hAnsi="Cambria" w:cs="Cambria"/>
          <w:sz w:val="24"/>
          <w:szCs w:val="24"/>
        </w:rPr>
        <w:t xml:space="preserve"> </w:t>
      </w:r>
      <w:r w:rsidRPr="002B0F75">
        <w:rPr>
          <w:rFonts w:ascii="Cambria" w:eastAsia="Cambria" w:hAnsi="Cambria" w:cs="Cambria"/>
          <w:sz w:val="24"/>
          <w:szCs w:val="24"/>
        </w:rPr>
        <w:t xml:space="preserve">several ACEs (physical abuse, sexual abuse, and whether taken to a doctor) were found to </w:t>
      </w:r>
      <w:r w:rsidRPr="13B33B62">
        <w:rPr>
          <w:rFonts w:ascii="Cambria" w:eastAsia="Cambria" w:hAnsi="Cambria" w:cs="Cambria"/>
          <w:color w:val="000000" w:themeColor="text1"/>
          <w:sz w:val="24"/>
          <w:szCs w:val="24"/>
        </w:rPr>
        <w:t xml:space="preserve">significantly interact with CRP level to predict pain. </w:t>
      </w:r>
    </w:p>
    <w:p w14:paraId="46216117" w14:textId="7AAFE4C8" w:rsidR="75FD6E45" w:rsidRDefault="7935D904"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However, t</w:t>
      </w:r>
      <w:r w:rsidR="75FD6E45" w:rsidRPr="13B33B62">
        <w:rPr>
          <w:rFonts w:ascii="Cambria" w:eastAsia="Cambria" w:hAnsi="Cambria" w:cs="Cambria"/>
          <w:color w:val="000000" w:themeColor="text1"/>
          <w:sz w:val="24"/>
          <w:szCs w:val="24"/>
        </w:rPr>
        <w:t>he UK-based analysis also revealed interesting implications for the underlying mechanisms of the associations studied. CRP was found to be a stronger predictor of pain for patients who reported never having experienced physical abuse, meaning that the more frequently physical abuse was reported, the weaker the relationship between CRP and chronic pain became. Similarly, CRP was a stronger predictor for patients who were not exposed to sexual abuse as children, showing that as the frequency of sexual abuse increased, CRP levels appeared to become less of a predictor. The interaction results did show an interesting divide in the effect of CRP on chronic pain, in that for patients who had low or infrequent availability to visit the doctor when needed as children</w:t>
      </w:r>
      <w:r w:rsidR="40A39A31" w:rsidRPr="13B33B62">
        <w:rPr>
          <w:rFonts w:ascii="Cambria" w:eastAsia="Cambria" w:hAnsi="Cambria" w:cs="Cambria"/>
          <w:color w:val="000000" w:themeColor="text1"/>
          <w:sz w:val="24"/>
          <w:szCs w:val="24"/>
        </w:rPr>
        <w:t xml:space="preserve"> (higher adversity)</w:t>
      </w:r>
      <w:r w:rsidR="75FD6E45" w:rsidRPr="13B33B62">
        <w:rPr>
          <w:rFonts w:ascii="Cambria" w:eastAsia="Cambria" w:hAnsi="Cambria" w:cs="Cambria"/>
          <w:color w:val="000000" w:themeColor="text1"/>
          <w:sz w:val="24"/>
          <w:szCs w:val="24"/>
        </w:rPr>
        <w:t xml:space="preserve">, </w:t>
      </w:r>
      <w:r w:rsidR="42356E1E" w:rsidRPr="13B33B62">
        <w:rPr>
          <w:rFonts w:ascii="Cambria" w:eastAsia="Cambria" w:hAnsi="Cambria" w:cs="Cambria"/>
          <w:color w:val="000000" w:themeColor="text1"/>
          <w:sz w:val="24"/>
          <w:szCs w:val="24"/>
        </w:rPr>
        <w:t xml:space="preserve">lower not </w:t>
      </w:r>
      <w:r w:rsidR="75FD6E45" w:rsidRPr="13B33B62">
        <w:rPr>
          <w:rFonts w:ascii="Cambria" w:eastAsia="Cambria" w:hAnsi="Cambria" w:cs="Cambria"/>
          <w:color w:val="000000" w:themeColor="text1"/>
          <w:sz w:val="24"/>
          <w:szCs w:val="24"/>
        </w:rPr>
        <w:t xml:space="preserve">higher CRP levels were related to </w:t>
      </w:r>
      <w:r w:rsidR="7EAB1983" w:rsidRPr="13B33B62">
        <w:rPr>
          <w:rFonts w:ascii="Cambria" w:eastAsia="Cambria" w:hAnsi="Cambria" w:cs="Cambria"/>
          <w:color w:val="000000" w:themeColor="text1"/>
          <w:sz w:val="24"/>
          <w:szCs w:val="24"/>
        </w:rPr>
        <w:t xml:space="preserve">an increased </w:t>
      </w:r>
      <w:r w:rsidR="75FD6E45" w:rsidRPr="13B33B62">
        <w:rPr>
          <w:rFonts w:ascii="Cambria" w:eastAsia="Cambria" w:hAnsi="Cambria" w:cs="Cambria"/>
          <w:color w:val="000000" w:themeColor="text1"/>
          <w:sz w:val="24"/>
          <w:szCs w:val="24"/>
        </w:rPr>
        <w:t>frequency of chronic pain reported during adulthood. In contrast, patients who had a high availability of visiting the doctor when needed</w:t>
      </w:r>
      <w:r w:rsidR="27A7556F" w:rsidRPr="13B33B62">
        <w:rPr>
          <w:rFonts w:ascii="Cambria" w:eastAsia="Cambria" w:hAnsi="Cambria" w:cs="Cambria"/>
          <w:color w:val="000000" w:themeColor="text1"/>
          <w:sz w:val="24"/>
          <w:szCs w:val="24"/>
        </w:rPr>
        <w:t xml:space="preserve"> (lower adversity)</w:t>
      </w:r>
      <w:r w:rsidR="75FD6E45" w:rsidRPr="13B33B62">
        <w:rPr>
          <w:rFonts w:ascii="Cambria" w:eastAsia="Cambria" w:hAnsi="Cambria" w:cs="Cambria"/>
          <w:color w:val="000000" w:themeColor="text1"/>
          <w:sz w:val="24"/>
          <w:szCs w:val="24"/>
        </w:rPr>
        <w:t xml:space="preserve"> showed </w:t>
      </w:r>
      <w:r w:rsidR="67E19799" w:rsidRPr="13B33B62">
        <w:rPr>
          <w:rFonts w:ascii="Cambria" w:eastAsia="Cambria" w:hAnsi="Cambria" w:cs="Cambria"/>
          <w:color w:val="000000" w:themeColor="text1"/>
          <w:sz w:val="24"/>
          <w:szCs w:val="24"/>
        </w:rPr>
        <w:t xml:space="preserve">higher </w:t>
      </w:r>
      <w:r w:rsidR="75FD6E45" w:rsidRPr="13B33B62">
        <w:rPr>
          <w:rFonts w:ascii="Cambria" w:eastAsia="Cambria" w:hAnsi="Cambria" w:cs="Cambria"/>
          <w:color w:val="000000" w:themeColor="text1"/>
          <w:sz w:val="24"/>
          <w:szCs w:val="24"/>
        </w:rPr>
        <w:t xml:space="preserve">CRP levels to be a strong predictor of chronic pain in adulthood. These findings were not aligned </w:t>
      </w:r>
      <w:r w:rsidR="75FD6E45" w:rsidRPr="13B33B62">
        <w:rPr>
          <w:rFonts w:ascii="Cambria" w:eastAsia="Cambria" w:hAnsi="Cambria" w:cs="Cambria"/>
          <w:sz w:val="24"/>
          <w:szCs w:val="24"/>
        </w:rPr>
        <w:t xml:space="preserve">with </w:t>
      </w:r>
      <w:r w:rsidR="75FD6E45" w:rsidRPr="13B33B62">
        <w:rPr>
          <w:rFonts w:ascii="Cambria" w:eastAsia="Cambria" w:hAnsi="Cambria" w:cs="Cambria"/>
          <w:color w:val="000000" w:themeColor="text1"/>
          <w:sz w:val="24"/>
          <w:szCs w:val="24"/>
        </w:rPr>
        <w:t>expectations that childhood abuse would link to higher CRP</w:t>
      </w:r>
      <w:r w:rsidR="511E2043" w:rsidRPr="13B33B62">
        <w:rPr>
          <w:rFonts w:ascii="Cambria" w:eastAsia="Cambria" w:hAnsi="Cambria" w:cs="Cambria"/>
          <w:color w:val="000000" w:themeColor="text1"/>
          <w:sz w:val="24"/>
          <w:szCs w:val="24"/>
        </w:rPr>
        <w:t xml:space="preserve"> and a higher frequency of reported pain</w:t>
      </w:r>
      <w:r w:rsidR="5BE07CBE" w:rsidRPr="13B33B62">
        <w:rPr>
          <w:rFonts w:ascii="Cambria" w:eastAsia="Cambria" w:hAnsi="Cambria" w:cs="Cambria"/>
          <w:color w:val="000000" w:themeColor="text1"/>
          <w:sz w:val="24"/>
          <w:szCs w:val="24"/>
        </w:rPr>
        <w:t>. In</w:t>
      </w:r>
      <w:r w:rsidR="7A5FE5EA" w:rsidRPr="13B33B62">
        <w:rPr>
          <w:rFonts w:ascii="Cambria" w:eastAsia="Cambria" w:hAnsi="Cambria" w:cs="Cambria"/>
          <w:color w:val="000000" w:themeColor="text1"/>
          <w:sz w:val="24"/>
          <w:szCs w:val="24"/>
        </w:rPr>
        <w:t xml:space="preserve"> previous studies individuals with any type of childhood abuse experience showed greater rises in inflammation over time, and this was emphasised in those who had physical and </w:t>
      </w:r>
      <w:r w:rsidR="7A5FE5EA" w:rsidRPr="13B33B62">
        <w:rPr>
          <w:rFonts w:ascii="Cambria" w:eastAsia="Cambria" w:hAnsi="Cambria" w:cs="Cambria"/>
          <w:color w:val="000000" w:themeColor="text1"/>
          <w:sz w:val="24"/>
          <w:szCs w:val="24"/>
        </w:rPr>
        <w:lastRenderedPageBreak/>
        <w:t xml:space="preserve">emotional abuse history (Renna et al. 2021). </w:t>
      </w:r>
      <w:r w:rsidR="55225CA4" w:rsidRPr="13B33B62">
        <w:rPr>
          <w:rFonts w:ascii="Cambria" w:eastAsia="Cambria" w:hAnsi="Cambria" w:cs="Cambria"/>
          <w:color w:val="000000" w:themeColor="text1"/>
          <w:sz w:val="24"/>
          <w:szCs w:val="24"/>
        </w:rPr>
        <w:t>I</w:t>
      </w:r>
      <w:r w:rsidR="4DEF03AA" w:rsidRPr="13B33B62">
        <w:rPr>
          <w:rFonts w:ascii="Cambria" w:eastAsia="Cambria" w:hAnsi="Cambria" w:cs="Cambria"/>
          <w:color w:val="000000" w:themeColor="text1"/>
          <w:sz w:val="24"/>
          <w:szCs w:val="24"/>
        </w:rPr>
        <w:t xml:space="preserve">n the present analysis, </w:t>
      </w:r>
      <w:r w:rsidR="4D0EFFEA" w:rsidRPr="13B33B62">
        <w:rPr>
          <w:rFonts w:ascii="Cambria" w:eastAsia="Cambria" w:hAnsi="Cambria" w:cs="Cambria"/>
          <w:color w:val="000000" w:themeColor="text1"/>
          <w:sz w:val="24"/>
          <w:szCs w:val="24"/>
        </w:rPr>
        <w:t>only the</w:t>
      </w:r>
      <w:r w:rsidR="75FD6E45" w:rsidRPr="13B33B62">
        <w:rPr>
          <w:rFonts w:ascii="Cambria" w:eastAsia="Cambria" w:hAnsi="Cambria" w:cs="Cambria"/>
          <w:color w:val="000000" w:themeColor="text1"/>
          <w:sz w:val="24"/>
          <w:szCs w:val="24"/>
        </w:rPr>
        <w:t xml:space="preserve"> </w:t>
      </w:r>
      <w:r w:rsidR="00AC1840" w:rsidRPr="13B33B62">
        <w:rPr>
          <w:rFonts w:ascii="Cambria" w:eastAsia="Cambria" w:hAnsi="Cambria" w:cs="Cambria"/>
          <w:color w:val="000000" w:themeColor="text1"/>
          <w:sz w:val="24"/>
          <w:szCs w:val="24"/>
        </w:rPr>
        <w:t>frequency of sexual abuse and informing a professional about anxiety significantly interacted to predict elevated CRP</w:t>
      </w:r>
      <w:r w:rsidR="75FD6E45" w:rsidRPr="13B33B62">
        <w:rPr>
          <w:rFonts w:ascii="Cambria" w:eastAsia="Cambria" w:hAnsi="Cambria" w:cs="Cambria"/>
          <w:color w:val="000000" w:themeColor="text1"/>
          <w:sz w:val="24"/>
          <w:szCs w:val="24"/>
        </w:rPr>
        <w:t>. For the doctor visit availability discrepancy, it is possible that while one may assume less hospital visits implies neglect and more visits as having this need met, it may be the children who frequently went to the doctor perhaps had to do so</w:t>
      </w:r>
      <w:r w:rsidR="75FD6E45" w:rsidRPr="13B33B62">
        <w:rPr>
          <w:rFonts w:ascii="Cambria" w:eastAsia="Cambria" w:hAnsi="Cambria" w:cs="Cambria"/>
          <w:color w:val="D13438"/>
          <w:sz w:val="24"/>
          <w:szCs w:val="24"/>
        </w:rPr>
        <w:t xml:space="preserve"> </w:t>
      </w:r>
      <w:r w:rsidR="75FD6E45" w:rsidRPr="13B33B62">
        <w:rPr>
          <w:rFonts w:ascii="Cambria" w:eastAsia="Cambria" w:hAnsi="Cambria" w:cs="Cambria"/>
          <w:sz w:val="24"/>
          <w:szCs w:val="24"/>
        </w:rPr>
        <w:t>due to</w:t>
      </w:r>
      <w:r w:rsidR="75FD6E45" w:rsidRPr="13B33B62">
        <w:rPr>
          <w:rFonts w:ascii="Cambria" w:eastAsia="Cambria" w:hAnsi="Cambria" w:cs="Cambria"/>
          <w:color w:val="000000" w:themeColor="text1"/>
          <w:sz w:val="24"/>
          <w:szCs w:val="24"/>
        </w:rPr>
        <w:t xml:space="preserve"> poor health or abuse severity. </w:t>
      </w:r>
      <w:r w:rsidR="78DAB009" w:rsidRPr="13B33B62">
        <w:rPr>
          <w:rFonts w:ascii="Cambria" w:eastAsia="Cambria" w:hAnsi="Cambria" w:cs="Cambria"/>
          <w:color w:val="000000" w:themeColor="text1"/>
          <w:sz w:val="24"/>
          <w:szCs w:val="24"/>
        </w:rPr>
        <w:t xml:space="preserve">However, </w:t>
      </w:r>
      <w:r w:rsidR="75FD6E45" w:rsidRPr="13B33B62">
        <w:rPr>
          <w:rFonts w:ascii="Cambria" w:eastAsia="Cambria" w:hAnsi="Cambria" w:cs="Cambria"/>
          <w:color w:val="000000" w:themeColor="text1"/>
          <w:sz w:val="24"/>
          <w:szCs w:val="24"/>
        </w:rPr>
        <w:t>this cannot be assumed or confirmed from the retrospective database, as the questionnaires were limited</w:t>
      </w:r>
      <w:r w:rsidR="00641AF7" w:rsidRPr="13B33B62">
        <w:rPr>
          <w:rFonts w:ascii="Cambria" w:eastAsia="Cambria" w:hAnsi="Cambria" w:cs="Cambria"/>
          <w:color w:val="000000" w:themeColor="text1"/>
          <w:sz w:val="24"/>
          <w:szCs w:val="24"/>
        </w:rPr>
        <w:t xml:space="preserve"> in scope and did not capture detailed context</w:t>
      </w:r>
      <w:r w:rsidR="75FD6E45" w:rsidRPr="13B33B62">
        <w:rPr>
          <w:rFonts w:ascii="Cambria" w:eastAsia="Cambria" w:hAnsi="Cambria" w:cs="Cambria"/>
          <w:color w:val="000000" w:themeColor="text1"/>
          <w:sz w:val="24"/>
          <w:szCs w:val="24"/>
        </w:rPr>
        <w:t xml:space="preserve">. </w:t>
      </w:r>
    </w:p>
    <w:p w14:paraId="25F1C2EB" w14:textId="48FAA498"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In addition to CRP, systemic inflammation </w:t>
      </w:r>
      <w:r w:rsidR="42C8403F" w:rsidRPr="13B33B62">
        <w:rPr>
          <w:rFonts w:ascii="Cambria" w:eastAsia="Cambria" w:hAnsi="Cambria" w:cs="Cambria"/>
          <w:color w:val="000000" w:themeColor="text1"/>
          <w:sz w:val="24"/>
          <w:szCs w:val="24"/>
        </w:rPr>
        <w:t>indexed through</w:t>
      </w:r>
      <w:r w:rsidRPr="13B33B62">
        <w:rPr>
          <w:rFonts w:ascii="Cambria" w:eastAsia="Cambria" w:hAnsi="Cambria" w:cs="Cambria"/>
          <w:color w:val="000000" w:themeColor="text1"/>
          <w:sz w:val="24"/>
          <w:szCs w:val="24"/>
        </w:rPr>
        <w:t xml:space="preserve"> elevated levels of inflammatory biomarkers such as TNF-Α, IL-6, and IL-1B has previously been linked to increased inflammatory and neuropathic pain </w:t>
      </w:r>
      <w:r w:rsidR="0073662F">
        <w:rPr>
          <w:rFonts w:ascii="Cambria" w:eastAsia="Cambria" w:hAnsi="Cambria" w:cs="Cambria"/>
          <w:color w:val="000000" w:themeColor="text1"/>
          <w:sz w:val="24"/>
          <w:szCs w:val="24"/>
        </w:rPr>
        <w:t>(Morris et al. 2020)</w:t>
      </w:r>
      <w:r w:rsidRPr="13B33B62">
        <w:rPr>
          <w:rFonts w:ascii="Cambria" w:eastAsia="Cambria" w:hAnsi="Cambria" w:cs="Cambria"/>
          <w:color w:val="000000" w:themeColor="text1"/>
          <w:sz w:val="24"/>
          <w:szCs w:val="24"/>
        </w:rPr>
        <w:t xml:space="preserve">. The role of inflammation in the pathogenesis of other health problems in adults may be one of the main psychobiological mechanisms underlying the relationship between ACE history and later health outcomes. As shown in a study by </w:t>
      </w:r>
      <w:proofErr w:type="spellStart"/>
      <w:r w:rsidR="006067ED" w:rsidRPr="006067ED">
        <w:rPr>
          <w:rFonts w:ascii="Cambria" w:eastAsia="Cambria" w:hAnsi="Cambria" w:cs="Cambria"/>
          <w:color w:val="000000" w:themeColor="text1"/>
          <w:sz w:val="24"/>
          <w:szCs w:val="24"/>
        </w:rPr>
        <w:t>Iob</w:t>
      </w:r>
      <w:proofErr w:type="spellEnd"/>
      <w:r w:rsidRPr="13B33B62">
        <w:rPr>
          <w:rFonts w:ascii="Cambria" w:eastAsia="Cambria" w:hAnsi="Cambria" w:cs="Cambria"/>
          <w:color w:val="000000" w:themeColor="text1"/>
          <w:sz w:val="24"/>
          <w:szCs w:val="24"/>
        </w:rPr>
        <w:t xml:space="preserve"> et al. </w:t>
      </w:r>
      <w:r w:rsidR="006067ED">
        <w:rPr>
          <w:rFonts w:ascii="Cambria" w:eastAsia="Cambria" w:hAnsi="Cambria" w:cs="Cambria"/>
          <w:color w:val="000000" w:themeColor="text1"/>
          <w:sz w:val="24"/>
          <w:szCs w:val="24"/>
        </w:rPr>
        <w:t>(2020)</w:t>
      </w:r>
      <w:r w:rsidRPr="13B33B62">
        <w:rPr>
          <w:rFonts w:ascii="Cambria" w:eastAsia="Cambria" w:hAnsi="Cambria" w:cs="Cambria"/>
          <w:color w:val="000000" w:themeColor="text1"/>
          <w:sz w:val="24"/>
          <w:szCs w:val="24"/>
        </w:rPr>
        <w:t xml:space="preserve"> assessing CRP and hair cortisol, for example, adults with three ACEs or more had a higher risk of elevated CRP levels across a 4-year period of follow-up. Such results demonstrate how the complexities between ACEs and proinflammatory responses may persist and impact later stages of </w:t>
      </w:r>
      <w:r w:rsidR="63838679" w:rsidRPr="13B33B62">
        <w:rPr>
          <w:rFonts w:ascii="Cambria" w:eastAsia="Cambria" w:hAnsi="Cambria" w:cs="Cambria"/>
          <w:color w:val="000000" w:themeColor="text1"/>
          <w:sz w:val="24"/>
          <w:szCs w:val="24"/>
        </w:rPr>
        <w:t>adulthood and</w:t>
      </w:r>
      <w:r w:rsidRPr="13B33B62">
        <w:rPr>
          <w:rFonts w:ascii="Cambria" w:eastAsia="Cambria" w:hAnsi="Cambria" w:cs="Cambria"/>
          <w:color w:val="000000" w:themeColor="text1"/>
          <w:sz w:val="24"/>
          <w:szCs w:val="24"/>
        </w:rPr>
        <w:t xml:space="preserve"> should be factored into chronic pain screening</w:t>
      </w:r>
      <w:r w:rsidR="00641AF7" w:rsidRPr="13B33B62">
        <w:rPr>
          <w:rFonts w:ascii="Cambria" w:eastAsia="Cambria" w:hAnsi="Cambria" w:cs="Cambria"/>
          <w:color w:val="000000" w:themeColor="text1"/>
          <w:sz w:val="24"/>
          <w:szCs w:val="24"/>
        </w:rPr>
        <w:t xml:space="preserve">. This could </w:t>
      </w:r>
      <w:r w:rsidRPr="13B33B62">
        <w:rPr>
          <w:rFonts w:ascii="Cambria" w:eastAsia="Cambria" w:hAnsi="Cambria" w:cs="Cambria"/>
          <w:color w:val="000000" w:themeColor="text1"/>
          <w:sz w:val="24"/>
          <w:szCs w:val="24"/>
        </w:rPr>
        <w:t xml:space="preserve">perhaps </w:t>
      </w:r>
      <w:r w:rsidR="00641AF7" w:rsidRPr="13B33B62">
        <w:rPr>
          <w:rFonts w:ascii="Cambria" w:eastAsia="Cambria" w:hAnsi="Cambria" w:cs="Cambria"/>
          <w:color w:val="000000" w:themeColor="text1"/>
          <w:sz w:val="24"/>
          <w:szCs w:val="24"/>
        </w:rPr>
        <w:t xml:space="preserve">be done so </w:t>
      </w:r>
      <w:r w:rsidRPr="13B33B62">
        <w:rPr>
          <w:rFonts w:ascii="Cambria" w:eastAsia="Cambria" w:hAnsi="Cambria" w:cs="Cambria"/>
          <w:color w:val="000000" w:themeColor="text1"/>
          <w:sz w:val="24"/>
          <w:szCs w:val="24"/>
        </w:rPr>
        <w:t>in the form of including inflammatory markers in accompanying bloodwork</w:t>
      </w:r>
      <w:r w:rsidR="00641AF7" w:rsidRPr="13B33B62">
        <w:rPr>
          <w:rFonts w:ascii="Cambria" w:eastAsia="Cambria" w:hAnsi="Cambria" w:cs="Cambria"/>
          <w:color w:val="000000" w:themeColor="text1"/>
          <w:sz w:val="24"/>
          <w:szCs w:val="24"/>
        </w:rPr>
        <w:t xml:space="preserve"> for such visits</w:t>
      </w:r>
      <w:r w:rsidRPr="13B33B62">
        <w:rPr>
          <w:rFonts w:ascii="Cambria" w:eastAsia="Cambria" w:hAnsi="Cambria" w:cs="Cambria"/>
          <w:color w:val="000000" w:themeColor="text1"/>
          <w:sz w:val="24"/>
          <w:szCs w:val="24"/>
        </w:rPr>
        <w:t xml:space="preserve">. In addition, the number and specific combination of ACE types may influence CRP levels, as suggested by </w:t>
      </w:r>
      <w:r w:rsidR="5FD7D18D" w:rsidRPr="13B33B62">
        <w:rPr>
          <w:rFonts w:ascii="Cambria" w:eastAsia="Cambria" w:hAnsi="Cambria" w:cs="Cambria"/>
          <w:color w:val="000000" w:themeColor="text1"/>
          <w:sz w:val="24"/>
          <w:szCs w:val="24"/>
        </w:rPr>
        <w:t xml:space="preserve">the </w:t>
      </w:r>
      <w:r w:rsidRPr="13B33B62">
        <w:rPr>
          <w:rFonts w:ascii="Cambria" w:eastAsia="Cambria" w:hAnsi="Cambria" w:cs="Cambria"/>
          <w:color w:val="000000" w:themeColor="text1"/>
          <w:sz w:val="24"/>
          <w:szCs w:val="24"/>
        </w:rPr>
        <w:t xml:space="preserve">contrasting individual interaction findings, which suggests perhaps ACEs should be examined as a group or </w:t>
      </w:r>
      <w:r w:rsidR="716798FF" w:rsidRPr="13B33B62">
        <w:rPr>
          <w:rFonts w:ascii="Cambria" w:eastAsia="Cambria" w:hAnsi="Cambria" w:cs="Cambria"/>
          <w:color w:val="000000" w:themeColor="text1"/>
          <w:sz w:val="24"/>
          <w:szCs w:val="24"/>
        </w:rPr>
        <w:t xml:space="preserve">a </w:t>
      </w:r>
      <w:r w:rsidRPr="13B33B62">
        <w:rPr>
          <w:rFonts w:ascii="Cambria" w:eastAsia="Cambria" w:hAnsi="Cambria" w:cs="Cambria"/>
          <w:color w:val="000000" w:themeColor="text1"/>
          <w:sz w:val="24"/>
          <w:szCs w:val="24"/>
        </w:rPr>
        <w:t>whole instead of individually.</w:t>
      </w:r>
    </w:p>
    <w:p w14:paraId="7C1C5043" w14:textId="41A95EE4" w:rsidR="6E2346AC" w:rsidRDefault="6E2346AC" w:rsidP="00861CD3">
      <w:pPr>
        <w:spacing w:line="360" w:lineRule="auto"/>
        <w:rPr>
          <w:rFonts w:ascii="Cambria" w:eastAsia="Cambria" w:hAnsi="Cambria" w:cs="Cambria"/>
          <w:color w:val="000000" w:themeColor="text1"/>
          <w:sz w:val="24"/>
          <w:szCs w:val="24"/>
        </w:rPr>
      </w:pPr>
    </w:p>
    <w:p w14:paraId="48460181" w14:textId="3D69D447"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b/>
          <w:bCs/>
          <w:i/>
          <w:iCs/>
          <w:color w:val="000000" w:themeColor="text1"/>
          <w:sz w:val="24"/>
          <w:szCs w:val="24"/>
        </w:rPr>
        <w:t>MIDUS Findings</w:t>
      </w:r>
    </w:p>
    <w:p w14:paraId="74CFBFE0" w14:textId="3F460FC2"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The results of the US analyses of the MIDUS dataset in Chapter 4 did corroborate some of the patterns of the UK analyses, but also showed many unique findings. </w:t>
      </w:r>
      <w:r w:rsidR="12A4662F" w:rsidRPr="13B33B62">
        <w:rPr>
          <w:rFonts w:ascii="Cambria" w:eastAsia="Cambria" w:hAnsi="Cambria" w:cs="Cambria"/>
          <w:color w:val="000000" w:themeColor="text1"/>
          <w:sz w:val="24"/>
          <w:szCs w:val="24"/>
        </w:rPr>
        <w:t xml:space="preserve">The similarities were that </w:t>
      </w:r>
      <w:r w:rsidR="00641AF7" w:rsidRPr="13B33B62">
        <w:rPr>
          <w:rFonts w:ascii="Cambria" w:eastAsia="Cambria" w:hAnsi="Cambria" w:cs="Cambria"/>
          <w:color w:val="000000" w:themeColor="text1"/>
          <w:sz w:val="24"/>
          <w:szCs w:val="24"/>
        </w:rPr>
        <w:t>the</w:t>
      </w:r>
      <w:r w:rsidRPr="13B33B62">
        <w:rPr>
          <w:rFonts w:ascii="Cambria" w:eastAsia="Cambria" w:hAnsi="Cambria" w:cs="Cambria"/>
          <w:color w:val="000000" w:themeColor="text1"/>
          <w:sz w:val="24"/>
          <w:szCs w:val="24"/>
        </w:rPr>
        <w:t xml:space="preserve"> SEM indicated childhood adversity, anxiety, and CRP all played a role in predicting chronic pain</w:t>
      </w:r>
      <w:r w:rsidR="00641AF7" w:rsidRPr="13B33B62">
        <w:rPr>
          <w:rFonts w:ascii="Cambria" w:eastAsia="Cambria" w:hAnsi="Cambria" w:cs="Cambria"/>
          <w:color w:val="000000" w:themeColor="text1"/>
          <w:sz w:val="24"/>
          <w:szCs w:val="24"/>
        </w:rPr>
        <w:t xml:space="preserve">, and the regressions for both had significant interactions between </w:t>
      </w:r>
      <w:r w:rsidR="035E7727" w:rsidRPr="13B33B62">
        <w:rPr>
          <w:rFonts w:ascii="Cambria" w:eastAsia="Cambria" w:hAnsi="Cambria" w:cs="Cambria"/>
          <w:color w:val="000000" w:themeColor="text1"/>
          <w:sz w:val="24"/>
          <w:szCs w:val="24"/>
        </w:rPr>
        <w:t xml:space="preserve">different </w:t>
      </w:r>
      <w:r w:rsidR="00641AF7" w:rsidRPr="13B33B62">
        <w:rPr>
          <w:rFonts w:ascii="Cambria" w:eastAsia="Cambria" w:hAnsi="Cambria" w:cs="Cambria"/>
          <w:color w:val="000000" w:themeColor="text1"/>
          <w:sz w:val="24"/>
          <w:szCs w:val="24"/>
        </w:rPr>
        <w:t>ACEs to predict chronic pain. The</w:t>
      </w:r>
      <w:r w:rsidRPr="13B33B62">
        <w:rPr>
          <w:rFonts w:ascii="Cambria" w:eastAsia="Cambria" w:hAnsi="Cambria" w:cs="Cambria"/>
          <w:color w:val="000000" w:themeColor="text1"/>
          <w:sz w:val="24"/>
          <w:szCs w:val="24"/>
        </w:rPr>
        <w:t xml:space="preserve"> Spearman correlations assessment showed CRP was significantly correlated with anxiety, emotional-abuse, physical-neglect, multiple </w:t>
      </w:r>
      <w:r w:rsidRPr="13B33B62">
        <w:rPr>
          <w:rFonts w:ascii="Cambria" w:eastAsia="Cambria" w:hAnsi="Cambria" w:cs="Cambria"/>
          <w:color w:val="000000" w:themeColor="text1"/>
          <w:sz w:val="24"/>
          <w:szCs w:val="24"/>
        </w:rPr>
        <w:lastRenderedPageBreak/>
        <w:t xml:space="preserve">socio-demographic variables, and chronic pain. There were various interesting significant interactions between ACEs, CRP, and socio-demographic variables to explain chronic pain, such as physical abuse and emotional neglect, emotional abuse and physical abuse, physical-abuse and minimization, CRP and income, and CRP and education. </w:t>
      </w:r>
    </w:p>
    <w:p w14:paraId="424B9C22" w14:textId="2FD4CBC6" w:rsidR="005D23FC" w:rsidRDefault="0D2F9BDC"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One of the key differences between the Biobank findings and MIDUS was that</w:t>
      </w:r>
      <w:r w:rsidR="75FD6E45" w:rsidRPr="13B33B62">
        <w:rPr>
          <w:rFonts w:ascii="Cambria" w:eastAsia="Cambria" w:hAnsi="Cambria" w:cs="Cambria"/>
          <w:color w:val="000000" w:themeColor="text1"/>
          <w:sz w:val="24"/>
          <w:szCs w:val="24"/>
        </w:rPr>
        <w:t xml:space="preserve"> anxiety was not a significant predictor of chronic pain in any of the regression interactions that considered socio-</w:t>
      </w:r>
      <w:r w:rsidR="009E7B39" w:rsidRPr="009E7B39">
        <w:rPr>
          <w:rFonts w:ascii="Cambria" w:eastAsia="Cambria" w:hAnsi="Cambria" w:cs="Cambria"/>
          <w:color w:val="000000" w:themeColor="text1"/>
          <w:sz w:val="24"/>
          <w:szCs w:val="24"/>
        </w:rPr>
        <w:t>demographic</w:t>
      </w:r>
      <w:r w:rsidR="75FD6E45" w:rsidRPr="13B33B62">
        <w:rPr>
          <w:rFonts w:ascii="Cambria" w:eastAsia="Cambria" w:hAnsi="Cambria" w:cs="Cambria"/>
          <w:color w:val="000000" w:themeColor="text1"/>
          <w:sz w:val="24"/>
          <w:szCs w:val="24"/>
        </w:rPr>
        <w:t xml:space="preserve"> status, </w:t>
      </w:r>
      <w:r w:rsidR="46C72B92" w:rsidRPr="13B33B62">
        <w:rPr>
          <w:rFonts w:ascii="Cambria" w:eastAsia="Cambria" w:hAnsi="Cambria" w:cs="Cambria"/>
          <w:color w:val="000000" w:themeColor="text1"/>
          <w:sz w:val="24"/>
          <w:szCs w:val="24"/>
        </w:rPr>
        <w:t xml:space="preserve">also </w:t>
      </w:r>
      <w:r w:rsidR="75FD6E45" w:rsidRPr="13B33B62">
        <w:rPr>
          <w:rFonts w:ascii="Cambria" w:eastAsia="Cambria" w:hAnsi="Cambria" w:cs="Cambria"/>
          <w:color w:val="000000" w:themeColor="text1"/>
          <w:sz w:val="24"/>
          <w:szCs w:val="24"/>
        </w:rPr>
        <w:t xml:space="preserve">contrasting with prior research (e.g., Davies et al. 2009). </w:t>
      </w:r>
      <w:r w:rsidR="4C3C5C71" w:rsidRPr="13B33B62">
        <w:rPr>
          <w:rFonts w:ascii="Cambria" w:eastAsia="Cambria" w:hAnsi="Cambria" w:cs="Cambria"/>
          <w:color w:val="000000" w:themeColor="text1"/>
          <w:sz w:val="24"/>
          <w:szCs w:val="24"/>
        </w:rPr>
        <w:t>Thus, while anxiety may be associated and even correlated with ACEs, pain, and inflammation, it appears to lose its impact when considered alongside multiple socio-demographic predictor variables of importance. A</w:t>
      </w:r>
      <w:r w:rsidR="114386A4" w:rsidRPr="13B33B62">
        <w:rPr>
          <w:rFonts w:ascii="Cambria" w:eastAsia="Cambria" w:hAnsi="Cambria" w:cs="Cambria"/>
          <w:color w:val="000000" w:themeColor="text1"/>
          <w:sz w:val="24"/>
          <w:szCs w:val="24"/>
        </w:rPr>
        <w:t xml:space="preserve"> potential explanation for this can be found in </w:t>
      </w:r>
      <w:r w:rsidR="4C3C5C71" w:rsidRPr="13B33B62">
        <w:rPr>
          <w:rFonts w:ascii="Cambria" w:eastAsia="Cambria" w:hAnsi="Cambria" w:cs="Cambria"/>
          <w:color w:val="000000" w:themeColor="text1"/>
          <w:sz w:val="24"/>
          <w:szCs w:val="24"/>
        </w:rPr>
        <w:t xml:space="preserve">research </w:t>
      </w:r>
      <w:r w:rsidR="7C0C33EF" w:rsidRPr="13B33B62">
        <w:rPr>
          <w:rFonts w:ascii="Cambria" w:eastAsia="Cambria" w:hAnsi="Cambria" w:cs="Cambria"/>
          <w:color w:val="000000" w:themeColor="text1"/>
          <w:sz w:val="24"/>
          <w:szCs w:val="24"/>
        </w:rPr>
        <w:t xml:space="preserve">which </w:t>
      </w:r>
      <w:r w:rsidR="4C3C5C71" w:rsidRPr="13B33B62">
        <w:rPr>
          <w:rFonts w:ascii="Cambria" w:eastAsia="Cambria" w:hAnsi="Cambria" w:cs="Cambria"/>
          <w:color w:val="000000" w:themeColor="text1"/>
          <w:sz w:val="24"/>
          <w:szCs w:val="24"/>
        </w:rPr>
        <w:t>has shown that whether anxiety is significant</w:t>
      </w:r>
      <w:r w:rsidR="2139C317" w:rsidRPr="13B33B62">
        <w:rPr>
          <w:rFonts w:ascii="Cambria" w:eastAsia="Cambria" w:hAnsi="Cambria" w:cs="Cambria"/>
          <w:color w:val="000000" w:themeColor="text1"/>
          <w:sz w:val="24"/>
          <w:szCs w:val="24"/>
        </w:rPr>
        <w:t xml:space="preserve"> or not</w:t>
      </w:r>
      <w:r w:rsidR="4C3C5C71" w:rsidRPr="13B33B62">
        <w:rPr>
          <w:rFonts w:ascii="Cambria" w:eastAsia="Cambria" w:hAnsi="Cambria" w:cs="Cambria"/>
          <w:color w:val="000000" w:themeColor="text1"/>
          <w:sz w:val="24"/>
          <w:szCs w:val="24"/>
        </w:rPr>
        <w:t xml:space="preserve"> in regard to ACE history is dependent on the type of anxiety disorder, for example that panic disorder was significant but not social phobia (</w:t>
      </w:r>
      <w:proofErr w:type="spellStart"/>
      <w:r w:rsidR="4C3C5C71" w:rsidRPr="13B33B62">
        <w:rPr>
          <w:rFonts w:ascii="Cambria" w:eastAsia="Cambria" w:hAnsi="Cambria" w:cs="Cambria"/>
          <w:color w:val="000000" w:themeColor="text1"/>
          <w:sz w:val="24"/>
          <w:szCs w:val="24"/>
        </w:rPr>
        <w:t>Sefran</w:t>
      </w:r>
      <w:proofErr w:type="spellEnd"/>
      <w:r w:rsidR="4C3C5C71" w:rsidRPr="13B33B62">
        <w:rPr>
          <w:rFonts w:ascii="Cambria" w:eastAsia="Cambria" w:hAnsi="Cambria" w:cs="Cambria"/>
          <w:color w:val="000000" w:themeColor="text1"/>
          <w:sz w:val="24"/>
          <w:szCs w:val="24"/>
        </w:rPr>
        <w:t xml:space="preserve"> e al. 2022). This indicates that perhaps we need to investigate the differences between panic disorder, social phobia, or generalized anxiety disorder, and also account for them as distinctly different forms of anxiety in future research in this field. Further studies will be needed to enhance understanding of these complex interactions impacting chronic pain experiences.</w:t>
      </w:r>
      <w:r w:rsidR="008A1FAF">
        <w:rPr>
          <w:rFonts w:ascii="Cambria" w:eastAsia="Cambria" w:hAnsi="Cambria" w:cs="Cambria"/>
          <w:color w:val="000000" w:themeColor="text1"/>
          <w:sz w:val="24"/>
          <w:szCs w:val="24"/>
        </w:rPr>
        <w:t xml:space="preserve"> </w:t>
      </w:r>
      <w:r w:rsidR="00277972" w:rsidRPr="13B33B62">
        <w:rPr>
          <w:rFonts w:ascii="Cambria" w:eastAsia="Cambria" w:hAnsi="Cambria" w:cs="Cambria"/>
          <w:color w:val="000000" w:themeColor="text1"/>
          <w:sz w:val="24"/>
          <w:szCs w:val="24"/>
        </w:rPr>
        <w:t xml:space="preserve">Although the MIDUS study did not support the significance of anxiety, interactions between multiple ACEs did predict chronic pain significantly. </w:t>
      </w:r>
    </w:p>
    <w:p w14:paraId="0BA664FE" w14:textId="056F356C"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t xml:space="preserve">The influence of childhood adversity on long term medication use for chronic pain </w:t>
      </w:r>
      <w:r w:rsidRPr="002B0F75">
        <w:rPr>
          <w:rFonts w:ascii="Cambria" w:eastAsia="Cambria" w:hAnsi="Cambria" w:cs="Cambria"/>
          <w:sz w:val="24"/>
          <w:szCs w:val="24"/>
        </w:rPr>
        <w:t xml:space="preserve">was </w:t>
      </w:r>
      <w:r w:rsidRPr="66A0210A">
        <w:rPr>
          <w:rFonts w:ascii="Cambria" w:eastAsia="Cambria" w:hAnsi="Cambria" w:cs="Cambria"/>
          <w:color w:val="000000" w:themeColor="text1"/>
          <w:sz w:val="24"/>
          <w:szCs w:val="24"/>
        </w:rPr>
        <w:t>also complex, as the only variables with a direct impact on predicting medication for chronic pain usage were emotional abuse, gender, and income (both total household and personal income). As with the regressions, the impact of individual childhood adversity variables was dependent on other childhood adversity variables and the wider socio-demographic context. Additionally, there were a couple significant CRP interactions with socio-demographic variables but not with childhood adversity variables, highlighting the nuanced complexities of these associations</w:t>
      </w:r>
      <w:r w:rsidR="00277972">
        <w:rPr>
          <w:rFonts w:ascii="Cambria" w:eastAsia="Cambria" w:hAnsi="Cambria" w:cs="Cambria"/>
          <w:color w:val="000000" w:themeColor="text1"/>
          <w:sz w:val="24"/>
          <w:szCs w:val="24"/>
        </w:rPr>
        <w:t xml:space="preserve"> as compared to the UK Biobank results and other existing literature to date</w:t>
      </w:r>
      <w:r w:rsidRPr="66A0210A">
        <w:rPr>
          <w:rFonts w:ascii="Cambria" w:eastAsia="Cambria" w:hAnsi="Cambria" w:cs="Cambria"/>
          <w:color w:val="000000" w:themeColor="text1"/>
          <w:sz w:val="24"/>
          <w:szCs w:val="24"/>
        </w:rPr>
        <w:t xml:space="preserve">. A recent systematic review found that all 20 studies included showed statistical associations between ACEs and either lifetime or current opioid use-related behaviours, but only five demonstrated a significant gradient effect of the </w:t>
      </w:r>
      <w:r w:rsidRPr="66A0210A">
        <w:rPr>
          <w:rFonts w:ascii="Cambria" w:eastAsia="Cambria" w:hAnsi="Cambria" w:cs="Cambria"/>
          <w:color w:val="000000" w:themeColor="text1"/>
          <w:sz w:val="24"/>
          <w:szCs w:val="24"/>
        </w:rPr>
        <w:lastRenderedPageBreak/>
        <w:t xml:space="preserve">number of ACEs increasing with increasing risk of opioid use-related behaviours (Regmi et al., 2023). The significant interactions between various childhood adversity variables found in </w:t>
      </w:r>
      <w:r w:rsidR="596E378E" w:rsidRPr="66A0210A">
        <w:rPr>
          <w:rFonts w:ascii="Cambria" w:eastAsia="Cambria" w:hAnsi="Cambria" w:cs="Cambria"/>
          <w:color w:val="000000" w:themeColor="text1"/>
          <w:sz w:val="24"/>
          <w:szCs w:val="24"/>
        </w:rPr>
        <w:t xml:space="preserve">the present </w:t>
      </w:r>
      <w:r w:rsidRPr="66A0210A">
        <w:rPr>
          <w:rFonts w:ascii="Cambria" w:eastAsia="Cambria" w:hAnsi="Cambria" w:cs="Cambria"/>
          <w:color w:val="000000" w:themeColor="text1"/>
          <w:sz w:val="24"/>
          <w:szCs w:val="24"/>
        </w:rPr>
        <w:t xml:space="preserve">analyses further highlight the complexity of this issue as it is not just an addition of more childhood adversity leading to more medication use. These results highlighted how complex childhood adversity predictors are in regard to adult pain, and how pain management and ultimately, pain prevention, needs to account for more trauma-informed approaches to appropriately care for this adult population. While </w:t>
      </w:r>
      <w:r w:rsidR="0260FA1B" w:rsidRPr="66A0210A">
        <w:rPr>
          <w:rFonts w:ascii="Cambria" w:eastAsia="Cambria" w:hAnsi="Cambria" w:cs="Cambria"/>
          <w:color w:val="000000" w:themeColor="text1"/>
          <w:sz w:val="24"/>
          <w:szCs w:val="24"/>
        </w:rPr>
        <w:t xml:space="preserve">the </w:t>
      </w:r>
      <w:r w:rsidRPr="66A0210A">
        <w:rPr>
          <w:rFonts w:ascii="Cambria" w:eastAsia="Cambria" w:hAnsi="Cambria" w:cs="Cambria"/>
          <w:color w:val="000000" w:themeColor="text1"/>
          <w:sz w:val="24"/>
          <w:szCs w:val="24"/>
        </w:rPr>
        <w:t>understanding of these associations remains obscured by complexities, the need for childhood adversity history or ACE screening to be implemented into pain treatment decisions, pain screening, and pain assessment as an important consideration remains warranted.</w:t>
      </w:r>
    </w:p>
    <w:p w14:paraId="64C1B0EA" w14:textId="77777777" w:rsidR="0032203B" w:rsidRDefault="0032203B" w:rsidP="002B0F75">
      <w:pPr>
        <w:spacing w:line="360" w:lineRule="auto"/>
        <w:rPr>
          <w:rFonts w:ascii="Cambria" w:eastAsia="Cambria" w:hAnsi="Cambria" w:cs="Cambria"/>
          <w:color w:val="000000" w:themeColor="text1"/>
          <w:sz w:val="24"/>
          <w:szCs w:val="24"/>
        </w:rPr>
      </w:pPr>
    </w:p>
    <w:p w14:paraId="0881C55A" w14:textId="410DFDE9" w:rsidR="00906B07" w:rsidRPr="004447E8" w:rsidRDefault="00906B07" w:rsidP="002B0F75">
      <w:pPr>
        <w:spacing w:line="360" w:lineRule="auto"/>
        <w:rPr>
          <w:rFonts w:ascii="Cambria" w:eastAsia="Cambria" w:hAnsi="Cambria" w:cs="Cambria"/>
          <w:b/>
          <w:bCs/>
          <w:color w:val="000000" w:themeColor="text1"/>
          <w:sz w:val="24"/>
          <w:szCs w:val="24"/>
        </w:rPr>
      </w:pPr>
      <w:bookmarkStart w:id="164" w:name="_Hlk180840204"/>
      <w:r w:rsidRPr="004447E8">
        <w:rPr>
          <w:rFonts w:ascii="Cambria" w:eastAsia="Cambria" w:hAnsi="Cambria" w:cs="Cambria"/>
          <w:b/>
          <w:bCs/>
          <w:color w:val="000000" w:themeColor="text1"/>
          <w:sz w:val="24"/>
          <w:szCs w:val="24"/>
        </w:rPr>
        <w:t xml:space="preserve">Differences in UK Biobank </w:t>
      </w:r>
      <w:r w:rsidR="0032203B">
        <w:rPr>
          <w:rFonts w:ascii="Cambria" w:eastAsia="Cambria" w:hAnsi="Cambria" w:cs="Cambria"/>
          <w:b/>
          <w:bCs/>
          <w:color w:val="000000" w:themeColor="text1"/>
          <w:sz w:val="24"/>
          <w:szCs w:val="24"/>
        </w:rPr>
        <w:t>and US MIDUS studies</w:t>
      </w:r>
    </w:p>
    <w:p w14:paraId="0817D447" w14:textId="12BA295F" w:rsidR="0032203B" w:rsidRPr="0032203B" w:rsidRDefault="0032203B" w:rsidP="002B0F75">
      <w:pPr>
        <w:spacing w:line="360" w:lineRule="auto"/>
        <w:rPr>
          <w:rFonts w:ascii="Cambria" w:eastAsia="Cambria" w:hAnsi="Cambria" w:cs="Cambria"/>
          <w:i/>
          <w:iCs/>
          <w:color w:val="000000" w:themeColor="text1"/>
          <w:sz w:val="24"/>
          <w:szCs w:val="24"/>
        </w:rPr>
      </w:pPr>
      <w:r w:rsidRPr="004447E8">
        <w:rPr>
          <w:rFonts w:ascii="Cambria" w:eastAsia="Cambria" w:hAnsi="Cambria" w:cs="Cambria"/>
          <w:i/>
          <w:iCs/>
          <w:color w:val="000000" w:themeColor="text1"/>
          <w:sz w:val="24"/>
          <w:szCs w:val="24"/>
        </w:rPr>
        <w:t>Population</w:t>
      </w:r>
    </w:p>
    <w:p w14:paraId="1AF0E2B0" w14:textId="77777777" w:rsidR="00656A75" w:rsidRPr="00656A75" w:rsidRDefault="00656A75" w:rsidP="00656A75">
      <w:pPr>
        <w:spacing w:line="360" w:lineRule="auto"/>
        <w:rPr>
          <w:rFonts w:ascii="Cambria" w:eastAsia="Cambria" w:hAnsi="Cambria" w:cs="Cambria"/>
          <w:color w:val="000000" w:themeColor="text1"/>
          <w:sz w:val="24"/>
          <w:szCs w:val="24"/>
        </w:rPr>
      </w:pPr>
      <w:r w:rsidRPr="00656A75">
        <w:rPr>
          <w:rFonts w:ascii="Cambria" w:eastAsia="Cambria" w:hAnsi="Cambria" w:cs="Cambria"/>
          <w:color w:val="000000" w:themeColor="text1"/>
          <w:sz w:val="24"/>
          <w:szCs w:val="24"/>
        </w:rPr>
        <w:t>Although the UK-based study had limited capacity to include socio-demographics, prior research has not caused their inclusion to alter the significant associations as was the case with my US-based study. A comparison between the complex differences in socio-demographic extremes for the US versus the UK in the context of mental health, childhood trauma exposure, and pain appears scarce, but there are some noteworthy studies to consider for context. While the UK did have a poverty rate of 22% in 2021/2022 (JRF, 2024), a global assessment deemed US poverty rates were substantially higher and more extreme than those found in 25 other nations, including the UK (Rank &amp; Hirschl 2024). This is of importance, as an expansive general population survey study of 24 countries with a combined sample of 68,894 adults across six continents assessing exposure to 29 traumatic event types found that lower education did appear to increase trauma exposure risk (</w:t>
      </w:r>
      <w:proofErr w:type="spellStart"/>
      <w:r w:rsidRPr="00656A75">
        <w:rPr>
          <w:rFonts w:ascii="Cambria" w:eastAsia="Cambria" w:hAnsi="Cambria" w:cs="Cambria"/>
          <w:color w:val="000000" w:themeColor="text1"/>
          <w:sz w:val="24"/>
          <w:szCs w:val="24"/>
        </w:rPr>
        <w:t>Benjet</w:t>
      </w:r>
      <w:proofErr w:type="spellEnd"/>
      <w:r w:rsidRPr="00656A75">
        <w:rPr>
          <w:rFonts w:ascii="Cambria" w:eastAsia="Cambria" w:hAnsi="Cambria" w:cs="Cambria"/>
          <w:color w:val="000000" w:themeColor="text1"/>
          <w:sz w:val="24"/>
          <w:szCs w:val="24"/>
        </w:rPr>
        <w:t xml:space="preserve"> et al. 2016). However, this was nuanced by the type of traumatic event, and the study did not account for poverty versus higher income levels or pain outcomes (</w:t>
      </w:r>
      <w:proofErr w:type="spellStart"/>
      <w:r w:rsidRPr="00656A75">
        <w:rPr>
          <w:rFonts w:ascii="Cambria" w:eastAsia="Cambria" w:hAnsi="Cambria" w:cs="Cambria"/>
          <w:color w:val="000000" w:themeColor="text1"/>
          <w:sz w:val="24"/>
          <w:szCs w:val="24"/>
        </w:rPr>
        <w:t>Benjet</w:t>
      </w:r>
      <w:proofErr w:type="spellEnd"/>
      <w:r w:rsidRPr="00656A75">
        <w:rPr>
          <w:rFonts w:ascii="Cambria" w:eastAsia="Cambria" w:hAnsi="Cambria" w:cs="Cambria"/>
          <w:color w:val="000000" w:themeColor="text1"/>
          <w:sz w:val="24"/>
          <w:szCs w:val="24"/>
        </w:rPr>
        <w:t xml:space="preserve"> et al. 2016). Over a decade ago, a US community low-income cohort study that followed children from birth through to 1st grade showed that greater socio-demographic risk was </w:t>
      </w:r>
      <w:r w:rsidRPr="00656A75">
        <w:rPr>
          <w:rFonts w:ascii="Cambria" w:eastAsia="Cambria" w:hAnsi="Cambria" w:cs="Cambria"/>
          <w:color w:val="000000" w:themeColor="text1"/>
          <w:sz w:val="24"/>
          <w:szCs w:val="24"/>
        </w:rPr>
        <w:lastRenderedPageBreak/>
        <w:t>associated with increased likelihood of trauma exposure, and combined, these variables were associated with the development of more severe symptoms of PTSD (Enlow et al. 2013). This study demonstrated trauma exposure mediated the association between socio-demographic risk and PTSD-related symptomology in full, which supported similar research showing increased rates of mental health burden in disadvantaged populations may partially be attributed to increased trauma exposure rates. Additionally, a US study by the CDC analysed 2016 National Health Interview Survey data, which concluded roughly 20% or 50 million US adults had chronic pain, with higher prevalences reported for women, older adults, those not currently employed, adults living in poverty, adults with public-based health insurance, and rural residents (</w:t>
      </w:r>
      <w:proofErr w:type="spellStart"/>
      <w:r w:rsidRPr="00656A75">
        <w:rPr>
          <w:rFonts w:ascii="Cambria" w:eastAsia="Cambria" w:hAnsi="Cambria" w:cs="Cambria"/>
          <w:color w:val="000000" w:themeColor="text1"/>
          <w:sz w:val="24"/>
          <w:szCs w:val="24"/>
        </w:rPr>
        <w:t>Dahlhamer</w:t>
      </w:r>
      <w:proofErr w:type="spellEnd"/>
      <w:r w:rsidRPr="00656A75">
        <w:rPr>
          <w:rFonts w:ascii="Cambria" w:eastAsia="Cambria" w:hAnsi="Cambria" w:cs="Cambria"/>
          <w:color w:val="000000" w:themeColor="text1"/>
          <w:sz w:val="24"/>
          <w:szCs w:val="24"/>
        </w:rPr>
        <w:t xml:space="preserve"> et al. 2018). In regard to more recent world events, an online survey conducted in 152 countries to assess the risks of PTSD symptoms during the COVID-19 pandemic found that most socio-demographic factors, excluding age, were linked to post-traumatic stress symptoms in teens and younger adults during the initial wave of COVID-19 (Folayan et al. 2024). </w:t>
      </w:r>
    </w:p>
    <w:p w14:paraId="54E598E1" w14:textId="4D2A2F70" w:rsidR="00906B07" w:rsidRDefault="00656A75" w:rsidP="00656A75">
      <w:pPr>
        <w:spacing w:line="360" w:lineRule="auto"/>
        <w:rPr>
          <w:rFonts w:ascii="Cambria" w:eastAsia="Cambria" w:hAnsi="Cambria" w:cs="Cambria"/>
          <w:color w:val="000000" w:themeColor="text1"/>
          <w:sz w:val="24"/>
          <w:szCs w:val="24"/>
        </w:rPr>
      </w:pPr>
      <w:r w:rsidRPr="00656A75">
        <w:rPr>
          <w:rFonts w:ascii="Cambria" w:eastAsia="Cambria" w:hAnsi="Cambria" w:cs="Cambria"/>
          <w:color w:val="000000" w:themeColor="text1"/>
          <w:sz w:val="24"/>
          <w:szCs w:val="24"/>
        </w:rPr>
        <w:t>Taken together, these findings suggest that children living in disadvantaged socio-demographic conditions should be flagged at heightened risk for ACEs and early life trauma, as well as chronic pain later in life. Thus, studies such as these and mine should be used to better identify risk factors for children, potentially prevent repeated trauma exposures, and to provide more effective early intervention or treatment to help prevent or ideally, reverse the negative cascade effect characterized by developmental disruption, maladaptation, negative health outcomes, and psychopathology across the lifespan. To mirror the relevance of neglect findings across all three studies, it would be worth reconsidering how we classify socio-demographic disadvantages as separate variables from trauma, as it is clear poverty could be considered a form of childhood adversity or developmental trauma</w:t>
      </w:r>
      <w:r w:rsidR="0FA2203C" w:rsidRPr="1441A89E">
        <w:rPr>
          <w:rFonts w:ascii="Cambria" w:eastAsia="Cambria" w:hAnsi="Cambria" w:cs="Cambria"/>
          <w:color w:val="000000" w:themeColor="text1"/>
          <w:sz w:val="24"/>
          <w:szCs w:val="24"/>
        </w:rPr>
        <w:t xml:space="preserve">.  </w:t>
      </w:r>
    </w:p>
    <w:p w14:paraId="593167D7" w14:textId="5C84081F" w:rsidR="00906B07" w:rsidRPr="004447E8" w:rsidRDefault="0032203B" w:rsidP="00906B07">
      <w:pPr>
        <w:spacing w:line="360" w:lineRule="auto"/>
        <w:rPr>
          <w:rFonts w:ascii="Cambria" w:eastAsia="Cambria" w:hAnsi="Cambria" w:cs="Cambria"/>
          <w:i/>
          <w:iCs/>
          <w:color w:val="000000" w:themeColor="text1"/>
          <w:sz w:val="24"/>
          <w:szCs w:val="24"/>
        </w:rPr>
      </w:pPr>
      <w:r w:rsidRPr="004447E8">
        <w:rPr>
          <w:rFonts w:ascii="Cambria" w:eastAsia="Cambria" w:hAnsi="Cambria" w:cs="Cambria"/>
          <w:i/>
          <w:iCs/>
          <w:color w:val="000000" w:themeColor="text1"/>
          <w:sz w:val="24"/>
          <w:szCs w:val="24"/>
        </w:rPr>
        <w:t>Analyses</w:t>
      </w:r>
    </w:p>
    <w:p w14:paraId="3511481E" w14:textId="77777777" w:rsidR="00656A75" w:rsidRPr="00656A75" w:rsidRDefault="00656A75" w:rsidP="00656A75">
      <w:pPr>
        <w:spacing w:line="360" w:lineRule="auto"/>
        <w:rPr>
          <w:rFonts w:ascii="Cambria" w:eastAsia="Cambria" w:hAnsi="Cambria" w:cs="Cambria"/>
          <w:color w:val="000000" w:themeColor="text1"/>
          <w:sz w:val="24"/>
          <w:szCs w:val="24"/>
        </w:rPr>
      </w:pPr>
      <w:r w:rsidRPr="00656A75">
        <w:rPr>
          <w:rFonts w:ascii="Cambria" w:eastAsia="Cambria" w:hAnsi="Cambria" w:cs="Cambria"/>
          <w:color w:val="000000" w:themeColor="text1"/>
          <w:sz w:val="24"/>
          <w:szCs w:val="24"/>
        </w:rPr>
        <w:t xml:space="preserve">Poisson distribution is typically used to describe the probability of a number of events happening within a given time or space interval, to model a variety of events, or to describe the distribution of rare events in a large population. The Poisson distribution is often used </w:t>
      </w:r>
      <w:r w:rsidRPr="00656A75">
        <w:rPr>
          <w:rFonts w:ascii="Cambria" w:eastAsia="Cambria" w:hAnsi="Cambria" w:cs="Cambria"/>
          <w:color w:val="000000" w:themeColor="text1"/>
          <w:sz w:val="24"/>
          <w:szCs w:val="24"/>
        </w:rPr>
        <w:lastRenderedPageBreak/>
        <w:t>to describe situations in which an event occurs repeatedly at a constant rate of probability; when you are observing a high volume of binary events with a very low probability of success. What should be a symmetrical binomial distribution gets skewed because you cannot actually observe less than zero events. That skewness is described by the Poisson distribution. As the dependent variable for the UK analysis (i.e., chronic pain) was count data, a Poisson regression model was determined to be the most suitable. Additionally, various applications of SEM range from analysis of simple relationships between variables to complex analyses of measurement equivalence for first and higher-order constructs, and SEM also provides a flexible framework for developing and analysing complex relationships among multiple variables. This allows testing the validity of a theory using empirical models with an advantage of managing measurement error, one of the greatest limitations of most health studies. SEM can be used as an exploratory or confirmatory approach within a research design, and can provide insight into the complex nature of disease and health behaviours by examining both direct, indirect, unidirectional, and bidirectional relationships between measured and latent variables. The combination of these equations is then used to specify the pattern of possible relationships, and these relationships identified in the SEM model are then further examined in detail via a generalized linear model (GLM). GLM procedures (both univariate and multivariate) are special cases of SEM. SEM enables initial testing of multiple hypothesized paths simultaneously (i.e., when your model consists of several independent variables, dependent variables, mediators and/or moderators). However, linear regression provides insight into the amount of variance of a criterion is explained by the predictor. For a simplistic model, regression alone would be sufficient, but in both the UK and US studies, which involved complex sets of relationships for which their interrelations are unclear from previous evidence, SEM was also needed.</w:t>
      </w:r>
    </w:p>
    <w:p w14:paraId="38442327" w14:textId="2D1B5CFC" w:rsidR="0032203B" w:rsidRDefault="00656A75" w:rsidP="0032203B">
      <w:pPr>
        <w:spacing w:line="360" w:lineRule="auto"/>
        <w:rPr>
          <w:rFonts w:ascii="Cambria" w:eastAsia="Cambria" w:hAnsi="Cambria" w:cs="Cambria"/>
          <w:color w:val="000000" w:themeColor="text1"/>
          <w:sz w:val="24"/>
          <w:szCs w:val="24"/>
        </w:rPr>
      </w:pPr>
      <w:r w:rsidRPr="00656A75">
        <w:rPr>
          <w:rFonts w:ascii="Cambria" w:eastAsia="Cambria" w:hAnsi="Cambria" w:cs="Cambria"/>
          <w:color w:val="000000" w:themeColor="text1"/>
          <w:sz w:val="24"/>
          <w:szCs w:val="24"/>
        </w:rPr>
        <w:t xml:space="preserve">For the US MIDUS study, this novel approach was taken a step further. The relationships among CAs, anxiety, inflammation, socio-demographic factors, and chronic pain were viewed under three methodological lenses to gain insight into different aspects of their relationships. The correlation analysis computed Spearman correlation coefficients on each possible pair of variables to show how strongly and in what direction each pair was related. </w:t>
      </w:r>
      <w:r w:rsidRPr="00656A75">
        <w:rPr>
          <w:rFonts w:ascii="Cambria" w:eastAsia="Cambria" w:hAnsi="Cambria" w:cs="Cambria"/>
          <w:color w:val="000000" w:themeColor="text1"/>
          <w:sz w:val="24"/>
          <w:szCs w:val="24"/>
        </w:rPr>
        <w:lastRenderedPageBreak/>
        <w:t>This provided initial insight into variable relationships and was used to inform and cross-check the structural equation model-building process and results, and the regressions. The SEM explored and visualised hypothetical relationships among observed and unobserved (latent) variables. It showed how observed and latent variables for CAs, anxiety, inflammation, and chronic pain, and observed socio-economic variables directionally affected each other, something not possible with correlation or regression methods, and is why it was selected over more standard mediation and moderation modelling for the final study analysis. The regression model used independent variables for and specified interactions among CAs, anxiety, inflammation, and socio-demographic factors (controls) to predict chronic pain presence, which allowed for the identification of significant factors which accurately predicted chronic pain presence</w:t>
      </w:r>
      <w:r w:rsidR="0032203B" w:rsidRPr="0032203B">
        <w:rPr>
          <w:rFonts w:ascii="Cambria" w:eastAsia="Cambria" w:hAnsi="Cambria" w:cs="Cambria"/>
          <w:color w:val="000000" w:themeColor="text1"/>
          <w:sz w:val="24"/>
          <w:szCs w:val="24"/>
        </w:rPr>
        <w:t>.</w:t>
      </w:r>
      <w:bookmarkEnd w:id="164"/>
    </w:p>
    <w:p w14:paraId="5A3AE669" w14:textId="77777777" w:rsidR="0032203B" w:rsidRPr="00906B07" w:rsidRDefault="0032203B" w:rsidP="0032203B">
      <w:pPr>
        <w:spacing w:line="360" w:lineRule="auto"/>
        <w:rPr>
          <w:rFonts w:ascii="Cambria" w:eastAsia="Cambria" w:hAnsi="Cambria" w:cs="Cambria"/>
          <w:color w:val="000000" w:themeColor="text1"/>
          <w:sz w:val="24"/>
          <w:szCs w:val="24"/>
        </w:rPr>
      </w:pPr>
    </w:p>
    <w:p w14:paraId="5B0955F6" w14:textId="7269AD47" w:rsidR="75FD6E45" w:rsidRPr="00684AAB" w:rsidRDefault="75FD6E45" w:rsidP="002B0F75">
      <w:pPr>
        <w:spacing w:line="360" w:lineRule="auto"/>
        <w:rPr>
          <w:rFonts w:ascii="Cambria" w:eastAsia="Cambria" w:hAnsi="Cambria" w:cs="Cambria"/>
          <w:sz w:val="24"/>
          <w:szCs w:val="24"/>
        </w:rPr>
      </w:pPr>
      <w:r w:rsidRPr="00684AAB">
        <w:rPr>
          <w:rFonts w:ascii="Cambria" w:eastAsia="Cambria" w:hAnsi="Cambria" w:cs="Cambria"/>
          <w:b/>
          <w:bCs/>
          <w:i/>
          <w:iCs/>
          <w:sz w:val="24"/>
          <w:szCs w:val="24"/>
        </w:rPr>
        <w:t xml:space="preserve">Important findings across the three </w:t>
      </w:r>
      <w:r w:rsidR="16B99672" w:rsidRPr="00684AAB">
        <w:rPr>
          <w:rFonts w:ascii="Cambria" w:eastAsia="Cambria" w:hAnsi="Cambria" w:cs="Cambria"/>
          <w:b/>
          <w:bCs/>
          <w:i/>
          <w:iCs/>
          <w:sz w:val="24"/>
          <w:szCs w:val="24"/>
        </w:rPr>
        <w:t>studies</w:t>
      </w:r>
    </w:p>
    <w:p w14:paraId="7B7650FA" w14:textId="5D095675"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i/>
          <w:iCs/>
          <w:color w:val="000000" w:themeColor="text1"/>
          <w:sz w:val="24"/>
          <w:szCs w:val="24"/>
        </w:rPr>
        <w:t>The Impact of Neglect</w:t>
      </w:r>
    </w:p>
    <w:p w14:paraId="52A84EBA" w14:textId="3AAAF495"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t xml:space="preserve">An interesting finding across the present studies was that neglect, whether emotional or physical, played a significant role in predicting the presence of chronic pain, as well as elevated CRP for the biomarker analyses. Based on the systematic literature review and meta-analysis, the nature of ACE reporting indicates a shift to potentially include more measures on not only physical and emotional abuse, but also neglect categories. This may provide valuable insight into any underlying changes associated with neglect and how that may overlap with the neurophysiological basis of anxiety as well, particularly in the context of adults with chronic pain that seems resistant to standard models of treatment. </w:t>
      </w:r>
    </w:p>
    <w:p w14:paraId="57BE5462" w14:textId="5823DD53"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As mentioned, neglect is a somewhat more recent addition to how trauma has been defined during childhood, and although neglect is on the official ACEs list and incorporated in some of the checklist measures of ACEs, there remains a paucity of research on the prevalence of neglect in general populations. In a meta-analysis by </w:t>
      </w:r>
      <w:proofErr w:type="spellStart"/>
      <w:r w:rsidRPr="13B33B62">
        <w:rPr>
          <w:rFonts w:ascii="Cambria" w:eastAsia="Cambria" w:hAnsi="Cambria" w:cs="Cambria"/>
          <w:color w:val="000000" w:themeColor="text1"/>
          <w:sz w:val="24"/>
          <w:szCs w:val="24"/>
        </w:rPr>
        <w:t>Stoltenborgh</w:t>
      </w:r>
      <w:proofErr w:type="spellEnd"/>
      <w:r w:rsidRPr="13B33B62">
        <w:rPr>
          <w:rFonts w:ascii="Cambria" w:eastAsia="Cambria" w:hAnsi="Cambria" w:cs="Cambria"/>
          <w:color w:val="000000" w:themeColor="text1"/>
          <w:sz w:val="24"/>
          <w:szCs w:val="24"/>
        </w:rPr>
        <w:t xml:space="preserve"> et al. (2013), only 13 studies about emotional neglect were identified, which is drastically low compared to other ACE domains such as sexual abuse, which yielded over 200 publications (</w:t>
      </w:r>
      <w:proofErr w:type="spellStart"/>
      <w:r w:rsidRPr="13B33B62">
        <w:rPr>
          <w:rFonts w:ascii="Cambria" w:eastAsia="Cambria" w:hAnsi="Cambria" w:cs="Cambria"/>
          <w:color w:val="000000" w:themeColor="text1"/>
          <w:sz w:val="24"/>
          <w:szCs w:val="24"/>
        </w:rPr>
        <w:t>Stoltenborgh</w:t>
      </w:r>
      <w:proofErr w:type="spellEnd"/>
      <w:r w:rsidRPr="13B33B62">
        <w:rPr>
          <w:rFonts w:ascii="Cambria" w:eastAsia="Cambria" w:hAnsi="Cambria" w:cs="Cambria"/>
          <w:color w:val="000000" w:themeColor="text1"/>
          <w:sz w:val="24"/>
          <w:szCs w:val="24"/>
        </w:rPr>
        <w:t xml:space="preserve"> et al. 2013). Additionally, to date, there remains no</w:t>
      </w:r>
      <w:r w:rsidR="58431CB1" w:rsidRPr="13B33B62">
        <w:rPr>
          <w:rFonts w:ascii="Cambria" w:eastAsia="Cambria" w:hAnsi="Cambria" w:cs="Cambria"/>
          <w:color w:val="000000" w:themeColor="text1"/>
          <w:sz w:val="24"/>
          <w:szCs w:val="24"/>
        </w:rPr>
        <w:t xml:space="preserve"> standardised process</w:t>
      </w:r>
      <w:r w:rsidRPr="13B33B62">
        <w:rPr>
          <w:rFonts w:ascii="Cambria" w:eastAsia="Cambria" w:hAnsi="Cambria" w:cs="Cambria"/>
          <w:color w:val="000000" w:themeColor="text1"/>
          <w:sz w:val="24"/>
          <w:szCs w:val="24"/>
        </w:rPr>
        <w:t xml:space="preserve"> to measure emotional </w:t>
      </w:r>
      <w:r w:rsidRPr="13B33B62">
        <w:rPr>
          <w:rFonts w:ascii="Cambria" w:eastAsia="Cambria" w:hAnsi="Cambria" w:cs="Cambria"/>
          <w:color w:val="000000" w:themeColor="text1"/>
          <w:sz w:val="24"/>
          <w:szCs w:val="24"/>
        </w:rPr>
        <w:lastRenderedPageBreak/>
        <w:t xml:space="preserve">neglect consistently </w:t>
      </w:r>
      <w:r w:rsidR="00277972" w:rsidRPr="13B33B62">
        <w:rPr>
          <w:rFonts w:ascii="Cambria" w:eastAsia="Cambria" w:hAnsi="Cambria" w:cs="Cambria"/>
          <w:color w:val="000000" w:themeColor="text1"/>
          <w:sz w:val="24"/>
          <w:szCs w:val="24"/>
        </w:rPr>
        <w:t>across</w:t>
      </w:r>
      <w:r w:rsidRPr="13B33B62">
        <w:rPr>
          <w:rFonts w:ascii="Cambria" w:eastAsia="Cambria" w:hAnsi="Cambria" w:cs="Cambria"/>
          <w:color w:val="000000" w:themeColor="text1"/>
          <w:sz w:val="24"/>
          <w:szCs w:val="24"/>
        </w:rPr>
        <w:t xml:space="preserve"> clinical settings or research studies</w:t>
      </w:r>
      <w:r w:rsidR="40CCFB94" w:rsidRPr="13B33B62">
        <w:rPr>
          <w:rFonts w:ascii="Cambria" w:eastAsia="Cambria" w:hAnsi="Cambria" w:cs="Cambria"/>
          <w:color w:val="000000" w:themeColor="text1"/>
          <w:sz w:val="24"/>
          <w:szCs w:val="24"/>
        </w:rPr>
        <w:t>. Even though items on neglect are included in the commonly used established questionnaires, often studies focus only on abuse</w:t>
      </w:r>
      <w:r w:rsidR="0073662F">
        <w:rPr>
          <w:rFonts w:ascii="Cambria" w:eastAsia="Cambria" w:hAnsi="Cambria" w:cs="Cambria"/>
          <w:color w:val="000000" w:themeColor="text1"/>
          <w:sz w:val="24"/>
          <w:szCs w:val="24"/>
        </w:rPr>
        <w:t>-specific categories (physical abuse, sexual abuse, etc.)</w:t>
      </w:r>
      <w:r w:rsidR="40CCFB94" w:rsidRPr="13B33B62">
        <w:rPr>
          <w:rFonts w:ascii="Cambria" w:eastAsia="Cambria" w:hAnsi="Cambria" w:cs="Cambria"/>
          <w:color w:val="000000" w:themeColor="text1"/>
          <w:sz w:val="24"/>
          <w:szCs w:val="24"/>
        </w:rPr>
        <w:t>; this</w:t>
      </w:r>
      <w:r w:rsidRPr="13B33B62">
        <w:rPr>
          <w:rFonts w:ascii="Cambria" w:eastAsia="Cambria" w:hAnsi="Cambria" w:cs="Cambria"/>
          <w:color w:val="000000" w:themeColor="text1"/>
          <w:sz w:val="24"/>
          <w:szCs w:val="24"/>
        </w:rPr>
        <w:t xml:space="preserve"> has likely influenced the lack of data on neglect prevalence overall thanks to unclear and inconsistent tracking. Thus, the results of the present analyses may offer insights into potential assumptions that are currently held around the relationship between ACEs and anxiety, as well as indicating a need to more consistently capture the prevalence and impact of neglect.</w:t>
      </w:r>
    </w:p>
    <w:p w14:paraId="29F9B1BB" w14:textId="0EAE8643" w:rsidR="75FD6E45" w:rsidRDefault="75FD6E45" w:rsidP="00861CD3">
      <w:pPr>
        <w:spacing w:line="360" w:lineRule="auto"/>
        <w:rPr>
          <w:rFonts w:ascii="Cambria" w:eastAsia="Cambria" w:hAnsi="Cambria" w:cs="Cambria"/>
          <w:color w:val="000000" w:themeColor="text1"/>
          <w:sz w:val="24"/>
          <w:szCs w:val="24"/>
        </w:rPr>
      </w:pPr>
      <w:r w:rsidRPr="6E2346AC">
        <w:rPr>
          <w:rFonts w:ascii="Cambria" w:eastAsia="Cambria" w:hAnsi="Cambria" w:cs="Cambria"/>
          <w:i/>
          <w:iCs/>
          <w:color w:val="000000" w:themeColor="text1"/>
          <w:sz w:val="24"/>
          <w:szCs w:val="24"/>
        </w:rPr>
        <w:t>Inflammation Effects</w:t>
      </w:r>
    </w:p>
    <w:p w14:paraId="720C1016" w14:textId="4767167A"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t xml:space="preserve">Regarding inflammation, while inflammatory dysregulation has long been suggested to have a role in the pathophysiology of mental health conditions and issues (Goldsmith et al. 2016), </w:t>
      </w:r>
      <w:r w:rsidRPr="002B0F75">
        <w:rPr>
          <w:rFonts w:ascii="Cambria" w:eastAsia="Cambria" w:hAnsi="Cambria" w:cs="Cambria"/>
          <w:sz w:val="24"/>
          <w:szCs w:val="24"/>
        </w:rPr>
        <w:t>most</w:t>
      </w:r>
      <w:r w:rsidRPr="66A0210A">
        <w:rPr>
          <w:rFonts w:ascii="Cambria" w:eastAsia="Cambria" w:hAnsi="Cambria" w:cs="Cambria"/>
          <w:color w:val="000000" w:themeColor="text1"/>
          <w:sz w:val="24"/>
          <w:szCs w:val="24"/>
        </w:rPr>
        <w:t xml:space="preserve"> studies have focused on depression (Howren et al., 2009; Mac </w:t>
      </w:r>
      <w:proofErr w:type="spellStart"/>
      <w:r w:rsidRPr="66A0210A">
        <w:rPr>
          <w:rFonts w:ascii="Cambria" w:eastAsia="Cambria" w:hAnsi="Cambria" w:cs="Cambria"/>
          <w:color w:val="000000" w:themeColor="text1"/>
          <w:sz w:val="24"/>
          <w:szCs w:val="24"/>
        </w:rPr>
        <w:t>Giollabhui</w:t>
      </w:r>
      <w:proofErr w:type="spellEnd"/>
      <w:r w:rsidRPr="66A0210A">
        <w:rPr>
          <w:rFonts w:ascii="Cambria" w:eastAsia="Cambria" w:hAnsi="Cambria" w:cs="Cambria"/>
          <w:color w:val="000000" w:themeColor="text1"/>
          <w:sz w:val="24"/>
          <w:szCs w:val="24"/>
        </w:rPr>
        <w:t xml:space="preserve"> et al. 2021). Of note, increased inflammatory effects have been identified in people with cumulative ACEs, even three decades after exposure (Chen &amp; Lacey 2018; Danese et al. 2007). Typical confounding factors (low socio-economic status, smoking, diet), however, had no impact on this relationship (Danese et al. 2007), despite having a documented substantial impact on immune function and increasing inflammatory activity (Danese &amp; Lewis 2017). In the UK-based biomarker analysis, the frequency of sexual abuse and informing a professional about anxiety significantly interacted to predict elevated levels of CRP, and based on correlation analysis, CRP and the number of times pain was reported over the years was the largest. Additionally, ACEs (physical abuse, sexual abuse, and whether taken to a doctor) significantly interacted with CRP to predict pain in complex ways, such that the interaction to predict chronic pain was significant, but not elevated CRP.</w:t>
      </w:r>
    </w:p>
    <w:p w14:paraId="3419305D" w14:textId="2A69C3C0" w:rsidR="75FD6E45" w:rsidRDefault="75FD6E45" w:rsidP="002B0F75">
      <w:pPr>
        <w:spacing w:line="360" w:lineRule="auto"/>
        <w:rPr>
          <w:rFonts w:ascii="Calibri" w:eastAsia="Calibri" w:hAnsi="Calibri" w:cs="Calibri"/>
          <w:color w:val="000000" w:themeColor="text1"/>
        </w:rPr>
      </w:pPr>
      <w:r w:rsidRPr="13B33B62">
        <w:rPr>
          <w:rFonts w:ascii="Cambria" w:eastAsia="Cambria" w:hAnsi="Cambria" w:cs="Cambria"/>
          <w:color w:val="000000" w:themeColor="text1"/>
          <w:sz w:val="24"/>
          <w:szCs w:val="24"/>
        </w:rPr>
        <w:t xml:space="preserve">The present US-based biomarker analysis contributes to this conflicting evidence by showing several significant main effects of socio-economic or socio-demographic variables, such as between anxiety and income, and CRP with both income and education. Some evidence has shown that lower socio-economic status and ACEs were significantly associated with inflammation, HPA axis dysfunction, and the development of neurological, progressive, inflammatory, and autoimmune diseases in adults (Morris et al. 2019). This </w:t>
      </w:r>
      <w:r w:rsidRPr="13B33B62">
        <w:rPr>
          <w:rFonts w:ascii="Cambria" w:eastAsia="Cambria" w:hAnsi="Cambria" w:cs="Cambria"/>
          <w:color w:val="000000" w:themeColor="text1"/>
          <w:sz w:val="24"/>
          <w:szCs w:val="24"/>
        </w:rPr>
        <w:lastRenderedPageBreak/>
        <w:t>socio-economic deprivation and ACEs study also detailed bidirectional mechanisms of epigenetic changes to autoimmune-related gene expression, and how inflammation levels might be influenced by genetic factors (Morris et al. 2019). Another study of over 13,000 adults, the Brazilian Longitudinal Study of Adult Health, demonstrated a linear increase in CRP levels with increasing adverse socio-economic circumstances and experiences across the lifespan (Camelo et al. 2014).</w:t>
      </w:r>
      <w:r w:rsidRPr="13B33B62">
        <w:rPr>
          <w:rFonts w:ascii="Calibri" w:eastAsia="Calibri" w:hAnsi="Calibri" w:cs="Calibri"/>
          <w:color w:val="000000" w:themeColor="text1"/>
        </w:rPr>
        <w:t xml:space="preserve"> </w:t>
      </w:r>
    </w:p>
    <w:p w14:paraId="3715D7DD" w14:textId="58D62627"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t>Additionally, a study of over 1000 Dutch adults examined depressive and anxiety disorders as covariates that may confound the association between chronic musculoskeletal-related pain and functioning of the HPA-axis via cortisol measurement. They</w:t>
      </w:r>
      <w:r w:rsidRPr="66A0210A">
        <w:rPr>
          <w:rFonts w:ascii="Calibri" w:eastAsia="Calibri" w:hAnsi="Calibri" w:cs="Calibri"/>
          <w:color w:val="000000" w:themeColor="text1"/>
        </w:rPr>
        <w:t xml:space="preserve"> </w:t>
      </w:r>
      <w:r w:rsidRPr="66A0210A">
        <w:rPr>
          <w:rFonts w:ascii="Cambria" w:eastAsia="Cambria" w:hAnsi="Cambria" w:cs="Cambria"/>
          <w:color w:val="000000" w:themeColor="text1"/>
          <w:sz w:val="24"/>
          <w:szCs w:val="24"/>
        </w:rPr>
        <w:t>found that none of the cortisol measures assessed were significantly associated with chronic pain with depressive/anxiety disorders (</w:t>
      </w:r>
      <w:proofErr w:type="spellStart"/>
      <w:r w:rsidRPr="66A0210A">
        <w:rPr>
          <w:rFonts w:ascii="Cambria" w:eastAsia="Cambria" w:hAnsi="Cambria" w:cs="Cambria"/>
          <w:color w:val="000000" w:themeColor="text1"/>
          <w:sz w:val="24"/>
          <w:szCs w:val="24"/>
        </w:rPr>
        <w:t>Generaal</w:t>
      </w:r>
      <w:proofErr w:type="spellEnd"/>
      <w:r w:rsidRPr="66A0210A">
        <w:rPr>
          <w:rFonts w:ascii="Cambria" w:eastAsia="Cambria" w:hAnsi="Cambria" w:cs="Cambria"/>
          <w:color w:val="000000" w:themeColor="text1"/>
          <w:sz w:val="24"/>
          <w:szCs w:val="24"/>
        </w:rPr>
        <w:t xml:space="preserve"> et al. 2014). The only significant difference for cortisol at awakening between those with depression/anxiety compared to those without was found when adjusting for socio-demographic status (</w:t>
      </w:r>
      <w:proofErr w:type="spellStart"/>
      <w:r w:rsidRPr="66A0210A">
        <w:rPr>
          <w:rFonts w:ascii="Cambria" w:eastAsia="Cambria" w:hAnsi="Cambria" w:cs="Cambria"/>
          <w:color w:val="000000" w:themeColor="text1"/>
          <w:sz w:val="24"/>
          <w:szCs w:val="24"/>
        </w:rPr>
        <w:t>Generaal</w:t>
      </w:r>
      <w:proofErr w:type="spellEnd"/>
      <w:r w:rsidRPr="66A0210A">
        <w:rPr>
          <w:rFonts w:ascii="Cambria" w:eastAsia="Cambria" w:hAnsi="Cambria" w:cs="Cambria"/>
          <w:color w:val="000000" w:themeColor="text1"/>
          <w:sz w:val="24"/>
          <w:szCs w:val="24"/>
        </w:rPr>
        <w:t xml:space="preserve"> et al. 2014), implying the nuances of inflammatory reactions should include socio-demographics. As with the present MIDUS study, prior research to date indicates chronic pain and ACE populations tend to have depression and/or anxiety and inflammation at higher rates than the general population. However, mental health status ultimately does not appear to be the main important underlying factor to explain their pain experiences, particularly when socio-demographics are accounted for. </w:t>
      </w:r>
    </w:p>
    <w:p w14:paraId="08AE4257" w14:textId="04690593" w:rsidR="66A0210A" w:rsidRDefault="66A0210A" w:rsidP="002B0F75">
      <w:pPr>
        <w:spacing w:line="360" w:lineRule="auto"/>
        <w:rPr>
          <w:rFonts w:ascii="Cambria" w:eastAsia="Cambria" w:hAnsi="Cambria" w:cs="Cambria"/>
          <w:color w:val="000000" w:themeColor="text1"/>
          <w:sz w:val="24"/>
          <w:szCs w:val="24"/>
        </w:rPr>
      </w:pPr>
    </w:p>
    <w:p w14:paraId="23029EA6" w14:textId="6D4A2951" w:rsidR="75FD6E45" w:rsidRDefault="75FD6E45" w:rsidP="00861CD3">
      <w:pPr>
        <w:spacing w:line="360" w:lineRule="auto"/>
        <w:rPr>
          <w:rFonts w:ascii="Cambria" w:eastAsia="Cambria" w:hAnsi="Cambria" w:cs="Cambria"/>
          <w:color w:val="000000" w:themeColor="text1"/>
          <w:sz w:val="24"/>
          <w:szCs w:val="24"/>
        </w:rPr>
      </w:pPr>
      <w:r w:rsidRPr="6E2346AC">
        <w:rPr>
          <w:rFonts w:ascii="Cambria" w:eastAsia="Cambria" w:hAnsi="Cambria" w:cs="Cambria"/>
          <w:b/>
          <w:bCs/>
          <w:i/>
          <w:iCs/>
          <w:color w:val="000000" w:themeColor="text1"/>
          <w:sz w:val="24"/>
          <w:szCs w:val="24"/>
        </w:rPr>
        <w:t xml:space="preserve">Combined </w:t>
      </w:r>
      <w:r w:rsidR="0073662F">
        <w:rPr>
          <w:rFonts w:ascii="Cambria" w:eastAsia="Cambria" w:hAnsi="Cambria" w:cs="Cambria"/>
          <w:b/>
          <w:bCs/>
          <w:i/>
          <w:iCs/>
          <w:color w:val="000000" w:themeColor="text1"/>
          <w:sz w:val="24"/>
          <w:szCs w:val="24"/>
        </w:rPr>
        <w:t>f</w:t>
      </w:r>
      <w:r w:rsidRPr="6E2346AC">
        <w:rPr>
          <w:rFonts w:ascii="Cambria" w:eastAsia="Cambria" w:hAnsi="Cambria" w:cs="Cambria"/>
          <w:b/>
          <w:bCs/>
          <w:i/>
          <w:iCs/>
          <w:color w:val="000000" w:themeColor="text1"/>
          <w:sz w:val="24"/>
          <w:szCs w:val="24"/>
        </w:rPr>
        <w:t xml:space="preserve">indings </w:t>
      </w:r>
      <w:r w:rsidR="0073662F">
        <w:rPr>
          <w:rFonts w:ascii="Cambria" w:eastAsia="Cambria" w:hAnsi="Cambria" w:cs="Cambria"/>
          <w:b/>
          <w:bCs/>
          <w:i/>
          <w:iCs/>
          <w:color w:val="000000" w:themeColor="text1"/>
          <w:sz w:val="24"/>
          <w:szCs w:val="24"/>
        </w:rPr>
        <w:t>i</w:t>
      </w:r>
      <w:r w:rsidRPr="6E2346AC">
        <w:rPr>
          <w:rFonts w:ascii="Cambria" w:eastAsia="Cambria" w:hAnsi="Cambria" w:cs="Cambria"/>
          <w:b/>
          <w:bCs/>
          <w:i/>
          <w:iCs/>
          <w:color w:val="000000" w:themeColor="text1"/>
          <w:sz w:val="24"/>
          <w:szCs w:val="24"/>
        </w:rPr>
        <w:t>mplications</w:t>
      </w:r>
    </w:p>
    <w:p w14:paraId="769F73C9" w14:textId="2AA6889C"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Overall, the results of the three studies conducted during this PhD built upon each other in a complimentary and substantial way. The systematic review and meta-analysis held value by summarising the scattered evidence to date on the associations between ACEs, anxiety, and adult chronic pain, and thereby also establishing the relevance of the topic. The UK Biobank analysis </w:t>
      </w:r>
      <w:r w:rsidR="0073662F" w:rsidRPr="13B33B62">
        <w:rPr>
          <w:rFonts w:ascii="Cambria" w:eastAsia="Cambria" w:hAnsi="Cambria" w:cs="Cambria"/>
          <w:color w:val="000000" w:themeColor="text1"/>
          <w:sz w:val="24"/>
          <w:szCs w:val="24"/>
        </w:rPr>
        <w:t>examin</w:t>
      </w:r>
      <w:r w:rsidR="0073662F">
        <w:rPr>
          <w:rFonts w:ascii="Cambria" w:eastAsia="Cambria" w:hAnsi="Cambria" w:cs="Cambria"/>
          <w:color w:val="000000" w:themeColor="text1"/>
          <w:sz w:val="24"/>
          <w:szCs w:val="24"/>
        </w:rPr>
        <w:t>ed</w:t>
      </w:r>
      <w:r w:rsidR="0073662F" w:rsidRPr="13B33B62">
        <w:rPr>
          <w:rFonts w:ascii="Cambria" w:eastAsia="Cambria" w:hAnsi="Cambria" w:cs="Cambria"/>
          <w:color w:val="000000" w:themeColor="text1"/>
          <w:sz w:val="24"/>
          <w:szCs w:val="24"/>
        </w:rPr>
        <w:t xml:space="preserve"> </w:t>
      </w:r>
      <w:r w:rsidRPr="13B33B62">
        <w:rPr>
          <w:rFonts w:ascii="Cambria" w:eastAsia="Cambria" w:hAnsi="Cambria" w:cs="Cambria"/>
          <w:color w:val="000000" w:themeColor="text1"/>
          <w:sz w:val="24"/>
          <w:szCs w:val="24"/>
        </w:rPr>
        <w:t xml:space="preserve">these three variables plus the potential impact of inflammation via CRP, but also identified a need to further explore such associations while taking into account socio-demographic variables. The US-based MIDUS biomarker analysis was able to examine a variety of socio-demographic variables, which resulted in some surprising </w:t>
      </w:r>
      <w:r w:rsidRPr="13B33B62">
        <w:rPr>
          <w:rFonts w:ascii="Cambria" w:eastAsia="Cambria" w:hAnsi="Cambria" w:cs="Cambria"/>
          <w:color w:val="000000" w:themeColor="text1"/>
          <w:sz w:val="24"/>
          <w:szCs w:val="24"/>
        </w:rPr>
        <w:lastRenderedPageBreak/>
        <w:t xml:space="preserve">contradictions to prior assumptions held in trauma research. For example, although it was previously noted that anxiety could be a potential mediator in the association between ACEs and chronic </w:t>
      </w:r>
      <w:r w:rsidR="21B3A065" w:rsidRPr="002B0F75">
        <w:rPr>
          <w:rFonts w:ascii="Cambria" w:eastAsia="Cambria" w:hAnsi="Cambria" w:cs="Cambria"/>
          <w:sz w:val="24"/>
          <w:szCs w:val="24"/>
        </w:rPr>
        <w:t>pain,</w:t>
      </w:r>
      <w:r w:rsidRPr="002B0F75">
        <w:rPr>
          <w:rFonts w:ascii="Cambria" w:eastAsia="Cambria" w:hAnsi="Cambria" w:cs="Cambria"/>
          <w:sz w:val="24"/>
          <w:szCs w:val="24"/>
        </w:rPr>
        <w:t xml:space="preserve"> </w:t>
      </w:r>
      <w:r w:rsidRPr="13B33B62">
        <w:rPr>
          <w:rFonts w:ascii="Cambria" w:eastAsia="Cambria" w:hAnsi="Cambria" w:cs="Cambria"/>
          <w:color w:val="000000" w:themeColor="text1"/>
          <w:sz w:val="24"/>
          <w:szCs w:val="24"/>
        </w:rPr>
        <w:t xml:space="preserve">the results of the </w:t>
      </w:r>
      <w:r w:rsidRPr="002B0F75">
        <w:rPr>
          <w:rFonts w:ascii="Cambria" w:eastAsia="Cambria" w:hAnsi="Cambria" w:cs="Cambria"/>
          <w:sz w:val="24"/>
          <w:szCs w:val="24"/>
        </w:rPr>
        <w:t>MIDUS analyses indicated this path is more complex and determined by people’s socio</w:t>
      </w:r>
      <w:r w:rsidR="65D7F35E" w:rsidRPr="002B0F75">
        <w:rPr>
          <w:rFonts w:ascii="Cambria" w:eastAsia="Cambria" w:hAnsi="Cambria" w:cs="Cambria"/>
          <w:sz w:val="24"/>
          <w:szCs w:val="24"/>
        </w:rPr>
        <w:t>-</w:t>
      </w:r>
      <w:r w:rsidRPr="002B0F75">
        <w:rPr>
          <w:rFonts w:ascii="Cambria" w:eastAsia="Cambria" w:hAnsi="Cambria" w:cs="Cambria"/>
          <w:sz w:val="24"/>
          <w:szCs w:val="24"/>
        </w:rPr>
        <w:t xml:space="preserve">demographic context rather than anxiety. Indeed, while anxiety may be correlated with ACEs, adult chronic pain, and elevated inflammation, there is a lack of substantial evidence for a causal association as the </w:t>
      </w:r>
      <w:r w:rsidR="0073662F" w:rsidRPr="002B0F75">
        <w:rPr>
          <w:rFonts w:ascii="Cambria" w:eastAsia="Cambria" w:hAnsi="Cambria" w:cs="Cambria"/>
          <w:sz w:val="24"/>
          <w:szCs w:val="24"/>
        </w:rPr>
        <w:t>i</w:t>
      </w:r>
      <w:r w:rsidR="0073662F">
        <w:rPr>
          <w:rFonts w:ascii="Cambria" w:eastAsia="Cambria" w:hAnsi="Cambria" w:cs="Cambria"/>
          <w:sz w:val="24"/>
          <w:szCs w:val="24"/>
        </w:rPr>
        <w:t>nfluence</w:t>
      </w:r>
      <w:r w:rsidR="0073662F" w:rsidRPr="002B0F75">
        <w:rPr>
          <w:rFonts w:ascii="Cambria" w:eastAsia="Cambria" w:hAnsi="Cambria" w:cs="Cambria"/>
          <w:sz w:val="24"/>
          <w:szCs w:val="24"/>
        </w:rPr>
        <w:t xml:space="preserve"> </w:t>
      </w:r>
      <w:r w:rsidRPr="002B0F75">
        <w:rPr>
          <w:rFonts w:ascii="Cambria" w:eastAsia="Cambria" w:hAnsi="Cambria" w:cs="Cambria"/>
          <w:sz w:val="24"/>
          <w:szCs w:val="24"/>
        </w:rPr>
        <w:t xml:space="preserve">of anxiety lost significant impact </w:t>
      </w:r>
      <w:r w:rsidRPr="13B33B62">
        <w:rPr>
          <w:rFonts w:ascii="Cambria" w:eastAsia="Cambria" w:hAnsi="Cambria" w:cs="Cambria"/>
          <w:color w:val="000000" w:themeColor="text1"/>
          <w:sz w:val="24"/>
          <w:szCs w:val="24"/>
        </w:rPr>
        <w:t>when socio-</w:t>
      </w:r>
      <w:r w:rsidR="0073662F">
        <w:rPr>
          <w:rFonts w:ascii="Cambria" w:eastAsia="Cambria" w:hAnsi="Cambria" w:cs="Cambria"/>
          <w:color w:val="000000" w:themeColor="text1"/>
          <w:sz w:val="24"/>
          <w:szCs w:val="24"/>
        </w:rPr>
        <w:t>demographic</w:t>
      </w:r>
      <w:r w:rsidR="0073662F" w:rsidRPr="13B33B62">
        <w:rPr>
          <w:rFonts w:ascii="Cambria" w:eastAsia="Cambria" w:hAnsi="Cambria" w:cs="Cambria"/>
          <w:color w:val="000000" w:themeColor="text1"/>
          <w:sz w:val="24"/>
          <w:szCs w:val="24"/>
        </w:rPr>
        <w:t xml:space="preserve"> </w:t>
      </w:r>
      <w:r w:rsidRPr="13B33B62">
        <w:rPr>
          <w:rFonts w:ascii="Cambria" w:eastAsia="Cambria" w:hAnsi="Cambria" w:cs="Cambria"/>
          <w:color w:val="000000" w:themeColor="text1"/>
          <w:sz w:val="24"/>
          <w:szCs w:val="24"/>
        </w:rPr>
        <w:t>variables were considered.</w:t>
      </w:r>
    </w:p>
    <w:p w14:paraId="4EA17950" w14:textId="119A2CDF"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The present results overall demonstrate the complexities of the impact of ACEs on physiological stress responses and how it remains impactful regardless of poor health behaviours, socio</w:t>
      </w:r>
      <w:r w:rsidR="71384150" w:rsidRPr="13B33B62">
        <w:rPr>
          <w:rFonts w:ascii="Cambria" w:eastAsia="Cambria" w:hAnsi="Cambria" w:cs="Cambria"/>
          <w:color w:val="000000" w:themeColor="text1"/>
          <w:sz w:val="24"/>
          <w:szCs w:val="24"/>
        </w:rPr>
        <w:t>-</w:t>
      </w:r>
      <w:r w:rsidR="0073662F">
        <w:rPr>
          <w:rFonts w:ascii="Cambria" w:eastAsia="Cambria" w:hAnsi="Cambria" w:cs="Cambria"/>
          <w:color w:val="000000" w:themeColor="text1"/>
          <w:sz w:val="24"/>
          <w:szCs w:val="24"/>
        </w:rPr>
        <w:t>demographic</w:t>
      </w:r>
      <w:r w:rsidR="0073662F" w:rsidRPr="13B33B62">
        <w:rPr>
          <w:rFonts w:ascii="Cambria" w:eastAsia="Cambria" w:hAnsi="Cambria" w:cs="Cambria"/>
          <w:color w:val="000000" w:themeColor="text1"/>
          <w:sz w:val="24"/>
          <w:szCs w:val="24"/>
        </w:rPr>
        <w:t xml:space="preserve"> </w:t>
      </w:r>
      <w:r w:rsidR="20857644" w:rsidRPr="13B33B62">
        <w:rPr>
          <w:rFonts w:ascii="Cambria" w:eastAsia="Cambria" w:hAnsi="Cambria" w:cs="Cambria"/>
          <w:color w:val="000000" w:themeColor="text1"/>
          <w:sz w:val="24"/>
          <w:szCs w:val="24"/>
        </w:rPr>
        <w:t>variable</w:t>
      </w:r>
      <w:r w:rsidRPr="13B33B62">
        <w:rPr>
          <w:rFonts w:ascii="Cambria" w:eastAsia="Cambria" w:hAnsi="Cambria" w:cs="Cambria"/>
          <w:color w:val="000000" w:themeColor="text1"/>
          <w:sz w:val="24"/>
          <w:szCs w:val="24"/>
        </w:rPr>
        <w:t>s, and even environmental risk factors. Both the UK and US studies suggested the mechanisms of the impact of ACEs on chronic pain may indeed include both inflammation and anxiety, although anxiety’s impact disappears when adjusting for socio-demographic status. Hence</w:t>
      </w:r>
      <w:r w:rsidR="0073662F">
        <w:rPr>
          <w:rFonts w:ascii="Cambria" w:eastAsia="Cambria" w:hAnsi="Cambria" w:cs="Cambria"/>
          <w:color w:val="000000" w:themeColor="text1"/>
          <w:sz w:val="24"/>
          <w:szCs w:val="24"/>
        </w:rPr>
        <w:t>,</w:t>
      </w:r>
      <w:r w:rsidRPr="13B33B62">
        <w:rPr>
          <w:rFonts w:ascii="Cambria" w:eastAsia="Cambria" w:hAnsi="Cambria" w:cs="Cambria"/>
          <w:color w:val="000000" w:themeColor="text1"/>
          <w:sz w:val="24"/>
          <w:szCs w:val="24"/>
        </w:rPr>
        <w:t xml:space="preserve"> further analyses </w:t>
      </w:r>
      <w:r w:rsidR="325ADA56" w:rsidRPr="13B33B62">
        <w:rPr>
          <w:rFonts w:ascii="Cambria" w:eastAsia="Cambria" w:hAnsi="Cambria" w:cs="Cambria"/>
          <w:color w:val="000000" w:themeColor="text1"/>
          <w:sz w:val="24"/>
          <w:szCs w:val="24"/>
        </w:rPr>
        <w:t>are</w:t>
      </w:r>
      <w:r w:rsidRPr="13B33B62">
        <w:rPr>
          <w:rFonts w:ascii="Cambria" w:eastAsia="Cambria" w:hAnsi="Cambria" w:cs="Cambria"/>
          <w:color w:val="000000" w:themeColor="text1"/>
          <w:sz w:val="24"/>
          <w:szCs w:val="24"/>
        </w:rPr>
        <w:t xml:space="preserve"> warranted to confirm and clarify the significant relationships as mediating or moderating, which was beyond the scope of the already complex multivariate analyses reported here. Thus, a better understanding of the complex and nuanced interactions between behavioural, neural, and immune processes on the development of adult chronic pain is needed as a prerequisite to guide and improve trauma-informed care for pain management in the future, and also highlights the importance of adjusting for socio-</w:t>
      </w:r>
      <w:r w:rsidR="009E7B39" w:rsidRPr="009E7B39">
        <w:rPr>
          <w:rFonts w:ascii="Cambria" w:eastAsia="Cambria" w:hAnsi="Cambria" w:cs="Cambria"/>
          <w:color w:val="000000" w:themeColor="text1"/>
          <w:sz w:val="24"/>
          <w:szCs w:val="24"/>
        </w:rPr>
        <w:t>demographic</w:t>
      </w:r>
      <w:r w:rsidRPr="13B33B62">
        <w:rPr>
          <w:rFonts w:ascii="Cambria" w:eastAsia="Cambria" w:hAnsi="Cambria" w:cs="Cambria"/>
          <w:color w:val="000000" w:themeColor="text1"/>
          <w:sz w:val="24"/>
          <w:szCs w:val="24"/>
        </w:rPr>
        <w:t xml:space="preserve"> status. </w:t>
      </w:r>
    </w:p>
    <w:p w14:paraId="7A9A8722" w14:textId="5BDDF7D5" w:rsidR="6E2346AC" w:rsidRDefault="6E2346AC" w:rsidP="00861CD3">
      <w:pPr>
        <w:spacing w:line="360" w:lineRule="auto"/>
        <w:rPr>
          <w:rFonts w:ascii="Cambria" w:eastAsia="Cambria" w:hAnsi="Cambria" w:cs="Cambria"/>
          <w:color w:val="000000" w:themeColor="text1"/>
          <w:sz w:val="24"/>
          <w:szCs w:val="24"/>
        </w:rPr>
      </w:pPr>
    </w:p>
    <w:p w14:paraId="41D57FA8" w14:textId="782CBE6C" w:rsidR="75FD6E45" w:rsidRDefault="75FD6E45" w:rsidP="00861CD3">
      <w:pPr>
        <w:spacing w:line="360" w:lineRule="auto"/>
        <w:rPr>
          <w:rFonts w:ascii="Cambria" w:eastAsia="Cambria" w:hAnsi="Cambria" w:cs="Cambria"/>
          <w:color w:val="000000" w:themeColor="text1"/>
          <w:sz w:val="24"/>
          <w:szCs w:val="24"/>
        </w:rPr>
      </w:pPr>
      <w:r w:rsidRPr="6E2346AC">
        <w:rPr>
          <w:rFonts w:ascii="Cambria" w:eastAsia="Cambria" w:hAnsi="Cambria" w:cs="Cambria"/>
          <w:b/>
          <w:bCs/>
          <w:i/>
          <w:iCs/>
          <w:color w:val="000000" w:themeColor="text1"/>
          <w:sz w:val="24"/>
          <w:szCs w:val="24"/>
        </w:rPr>
        <w:t xml:space="preserve">Limitations </w:t>
      </w:r>
    </w:p>
    <w:p w14:paraId="47693DE2" w14:textId="14831474"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t xml:space="preserve">The limitations of each study within this thesis are detailed in the specific chapters. However, there were some overarching limitations which should be considered. First, all the studies relied on self-report which is susceptible to recall bias, but including only data from individuals with specific diagnoses, e.g., of anxiety or chronic pain conditions, would likely underestimate any associations between these variables, given that many individuals may not seek medical help for anxiety and/or chronic pain (Clark et al. 2017). Further, the only alternative to surveys (clinical interviews) for abuse and anxiety measures also relies </w:t>
      </w:r>
      <w:r w:rsidRPr="66A0210A">
        <w:rPr>
          <w:rFonts w:ascii="Cambria" w:eastAsia="Cambria" w:hAnsi="Cambria" w:cs="Cambria"/>
          <w:color w:val="000000" w:themeColor="text1"/>
          <w:sz w:val="24"/>
          <w:szCs w:val="24"/>
        </w:rPr>
        <w:lastRenderedPageBreak/>
        <w:t xml:space="preserve">on self-report and recall and would not be pragmatic in epidemiological research.  Second, although appropriate statistical methods were used throughout, findings related to biomarker data should be interpreted cautiously. Across both Biobank and MIDUS, these findings could still be affected by unmeasured or unaccounted for confounding variables. However, multiple sensitivity analyses were conducted, and the significant results appear to not be affected by biases in the Biobank analysis and revealed important interactions with socio-demographics in the MIDUS analyses.  Third, even though the Biobank and MIDUS samples were based on probability sampling, minorities and those with lower income levels and educational attainment are likely underrepresented in both. However, the value of large, longitudinal samples </w:t>
      </w:r>
      <w:proofErr w:type="gramStart"/>
      <w:r w:rsidRPr="66A0210A">
        <w:rPr>
          <w:rFonts w:ascii="Cambria" w:eastAsia="Cambria" w:hAnsi="Cambria" w:cs="Cambria"/>
          <w:color w:val="000000" w:themeColor="text1"/>
          <w:sz w:val="24"/>
          <w:szCs w:val="24"/>
        </w:rPr>
        <w:t>were</w:t>
      </w:r>
      <w:proofErr w:type="gramEnd"/>
      <w:r w:rsidRPr="66A0210A">
        <w:rPr>
          <w:rFonts w:ascii="Cambria" w:eastAsia="Cambria" w:hAnsi="Cambria" w:cs="Cambria"/>
          <w:color w:val="000000" w:themeColor="text1"/>
          <w:sz w:val="24"/>
          <w:szCs w:val="24"/>
        </w:rPr>
        <w:t xml:space="preserve"> valuable, and multiple socio-demographic variables were examined as controls in the US-based sample, which added validity. </w:t>
      </w:r>
    </w:p>
    <w:p w14:paraId="6B1FA62B" w14:textId="7CF4A0EE" w:rsidR="6E2346AC" w:rsidRDefault="6E2346AC" w:rsidP="00861CD3">
      <w:pPr>
        <w:spacing w:line="360" w:lineRule="auto"/>
        <w:rPr>
          <w:rFonts w:ascii="Cambria" w:eastAsia="Cambria" w:hAnsi="Cambria" w:cs="Cambria"/>
          <w:color w:val="000000" w:themeColor="text1"/>
          <w:sz w:val="24"/>
          <w:szCs w:val="24"/>
        </w:rPr>
      </w:pPr>
    </w:p>
    <w:p w14:paraId="7EFFC947" w14:textId="1AF35CF5" w:rsidR="75FD6E45" w:rsidRDefault="75FD6E45" w:rsidP="00861CD3">
      <w:pPr>
        <w:spacing w:line="360" w:lineRule="auto"/>
        <w:rPr>
          <w:rFonts w:ascii="Cambria" w:eastAsia="Cambria" w:hAnsi="Cambria" w:cs="Cambria"/>
          <w:color w:val="000000" w:themeColor="text1"/>
          <w:sz w:val="24"/>
          <w:szCs w:val="24"/>
        </w:rPr>
      </w:pPr>
      <w:r w:rsidRPr="6E2346AC">
        <w:rPr>
          <w:rFonts w:ascii="Cambria" w:eastAsia="Cambria" w:hAnsi="Cambria" w:cs="Cambria"/>
          <w:b/>
          <w:bCs/>
          <w:i/>
          <w:iCs/>
          <w:color w:val="000000" w:themeColor="text1"/>
          <w:sz w:val="24"/>
          <w:szCs w:val="24"/>
        </w:rPr>
        <w:t>Recommendations for Future Research and Practice</w:t>
      </w:r>
    </w:p>
    <w:p w14:paraId="606DB971" w14:textId="7DF53782"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To overcome the limitations discussed above there are several research implications which should be considered. First, in future research of this type, it is recommended that both diagnosis of anxiety, and self-report measures of ACEs and anxiety, be included to maximise potential understanding of the associations between these factors and chronic pain. However, well-validated standardised commonly used measures should be implemented where possible to enable comparison of associations across studies. </w:t>
      </w:r>
      <w:bookmarkStart w:id="165" w:name="_Hlk170415567"/>
      <w:r w:rsidRPr="13B33B62">
        <w:rPr>
          <w:rFonts w:ascii="Cambria" w:eastAsia="Cambria" w:hAnsi="Cambria" w:cs="Cambria"/>
          <w:color w:val="000000" w:themeColor="text1"/>
          <w:sz w:val="24"/>
          <w:szCs w:val="24"/>
        </w:rPr>
        <w:t>Further, studies incorporating ACE assessment should measure neglect as well as abuse, and seek to standardise the assessment of a broader range of pain outcomes. Finally, the age range in the included articles in the systematic review was somewhat limited, and it would be of value for studies to examine whether the impact of ACEs on anxiety and chronic pain is maintained well into older adulthood, i.e., in those aged 65+ years.</w:t>
      </w:r>
      <w:bookmarkEnd w:id="165"/>
    </w:p>
    <w:p w14:paraId="703CF714" w14:textId="48110255" w:rsidR="75FD6E45" w:rsidRDefault="75FD6E45" w:rsidP="002B0F75">
      <w:pPr>
        <w:spacing w:line="360" w:lineRule="auto"/>
        <w:rPr>
          <w:rFonts w:ascii="Cambria" w:eastAsia="Cambria" w:hAnsi="Cambria" w:cs="Cambria"/>
          <w:color w:val="000000" w:themeColor="text1"/>
          <w:sz w:val="24"/>
          <w:szCs w:val="24"/>
        </w:rPr>
      </w:pPr>
      <w:r w:rsidRPr="6E2346AC">
        <w:rPr>
          <w:rFonts w:ascii="Cambria" w:eastAsia="Cambria" w:hAnsi="Cambria" w:cs="Cambria"/>
          <w:color w:val="000000" w:themeColor="text1"/>
          <w:sz w:val="24"/>
          <w:szCs w:val="24"/>
        </w:rPr>
        <w:t xml:space="preserve">Despite the growing data on the prevalence of ACEs, many healthcare providers remain uncomfortable treating and recognising trauma, particularly in the paediatric setting when the opportunity for intervention and prevention is still possible. In a hospital-wide survey in the US assessing healthcare provider’s comfort with trauma-informed care, less than 40% of staff members felt sufficiently equipped to screen for ACEs and only 34% felt they </w:t>
      </w:r>
      <w:r w:rsidRPr="6E2346AC">
        <w:rPr>
          <w:rFonts w:ascii="Cambria" w:eastAsia="Cambria" w:hAnsi="Cambria" w:cs="Cambria"/>
          <w:color w:val="000000" w:themeColor="text1"/>
          <w:sz w:val="24"/>
          <w:szCs w:val="24"/>
        </w:rPr>
        <w:lastRenderedPageBreak/>
        <w:t>could make an informed, appropriate referral to follow-up trauma services. Additionally, 80.5% felt the resources available for identified survivors of trauma, ACEs, or violence were inadequate (Slater, 2021). While not everyone who has had an ACE is going to develop anxiety and/or chronic pain, screening for all of these factors could be a useful tool for assessing a patient’s future risk and potentially improving the current attempts at establishing pathways for individualized, tailored care.</w:t>
      </w:r>
    </w:p>
    <w:p w14:paraId="1C25A79D" w14:textId="7F4531E8" w:rsidR="75FD6E45" w:rsidRDefault="75FD6E45" w:rsidP="002B0F75">
      <w:pPr>
        <w:spacing w:line="360" w:lineRule="auto"/>
        <w:rPr>
          <w:rFonts w:ascii="Cambria" w:eastAsia="Cambria" w:hAnsi="Cambria" w:cs="Cambria"/>
          <w:color w:val="000000" w:themeColor="text1"/>
          <w:sz w:val="24"/>
          <w:szCs w:val="24"/>
        </w:rPr>
      </w:pPr>
      <w:r w:rsidRPr="13B33B62">
        <w:rPr>
          <w:rFonts w:ascii="Cambria" w:eastAsia="Cambria" w:hAnsi="Cambria" w:cs="Cambria"/>
          <w:color w:val="000000" w:themeColor="text1"/>
          <w:sz w:val="24"/>
          <w:szCs w:val="24"/>
        </w:rPr>
        <w:t xml:space="preserve">Besides the overall implications of ACE-informed care, the way pain is addressed in healthcare settings remains problematic. Although chronic pain treatments and </w:t>
      </w:r>
      <w:proofErr w:type="gramStart"/>
      <w:r w:rsidR="00AE75F3">
        <w:rPr>
          <w:rFonts w:ascii="Cambria" w:eastAsia="Cambria" w:hAnsi="Cambria" w:cs="Cambria"/>
          <w:color w:val="000000" w:themeColor="text1"/>
          <w:sz w:val="24"/>
          <w:szCs w:val="24"/>
        </w:rPr>
        <w:t>o</w:t>
      </w:r>
      <w:r w:rsidR="00AE75F3" w:rsidRPr="00AE75F3">
        <w:rPr>
          <w:rFonts w:ascii="Cambria" w:eastAsia="Cambria" w:hAnsi="Cambria" w:cs="Cambria"/>
          <w:color w:val="000000" w:themeColor="text1"/>
          <w:sz w:val="24"/>
          <w:szCs w:val="24"/>
        </w:rPr>
        <w:t>pioid</w:t>
      </w:r>
      <w:r w:rsidR="00AE75F3" w:rsidRPr="00AE75F3" w:rsidDel="00AE75F3">
        <w:rPr>
          <w:rFonts w:ascii="Cambria" w:eastAsia="Cambria" w:hAnsi="Cambria" w:cs="Cambria"/>
          <w:color w:val="000000" w:themeColor="text1"/>
          <w:sz w:val="24"/>
          <w:szCs w:val="24"/>
        </w:rPr>
        <w:t xml:space="preserve"> </w:t>
      </w:r>
      <w:r w:rsidRPr="13B33B62">
        <w:rPr>
          <w:rFonts w:ascii="Cambria" w:eastAsia="Cambria" w:hAnsi="Cambria" w:cs="Cambria"/>
          <w:color w:val="000000" w:themeColor="text1"/>
          <w:sz w:val="24"/>
          <w:szCs w:val="24"/>
        </w:rPr>
        <w:t xml:space="preserve"> abuse</w:t>
      </w:r>
      <w:proofErr w:type="gramEnd"/>
      <w:r w:rsidRPr="13B33B62">
        <w:rPr>
          <w:rFonts w:ascii="Cambria" w:eastAsia="Cambria" w:hAnsi="Cambria" w:cs="Cambria"/>
          <w:color w:val="000000" w:themeColor="text1"/>
          <w:sz w:val="24"/>
          <w:szCs w:val="24"/>
        </w:rPr>
        <w:t xml:space="preserve"> have been a topic of interest for decades, the underlying mechanisms of pain need to be better understood overall, otherwise outcomes are unlikely to change, and treatments will continue to fall short (Phillips et al. 2017). By examining the potential influence ACEs and anxiety has in altering neurobiology, and thus nerve behaviour, new options could be developed. For example, it is historically known how impactful mirror‐therapy was for veterans and other individuals with phantom‐limb syndrome (Chan et al. 2019), particularly as it required no medication or surgery. </w:t>
      </w:r>
      <w:bookmarkStart w:id="166" w:name="_Hlk180839888"/>
      <w:bookmarkStart w:id="167" w:name="_Hlk170415598"/>
      <w:r w:rsidRPr="13B33B62">
        <w:rPr>
          <w:rFonts w:ascii="Cambria" w:eastAsia="Cambria" w:hAnsi="Cambria" w:cs="Cambria"/>
          <w:color w:val="000000" w:themeColor="text1"/>
          <w:sz w:val="24"/>
          <w:szCs w:val="24"/>
        </w:rPr>
        <w:t>While this study had a very specific target population, it would be beneficial to examine the feasibility of similar approaches of perception‐based treatment options and more cognitive behavioural approaches</w:t>
      </w:r>
      <w:r w:rsidR="00AE75F3">
        <w:rPr>
          <w:rFonts w:ascii="Cambria" w:eastAsia="Cambria" w:hAnsi="Cambria" w:cs="Cambria"/>
          <w:color w:val="000000" w:themeColor="text1"/>
          <w:sz w:val="24"/>
          <w:szCs w:val="24"/>
        </w:rPr>
        <w:t xml:space="preserve"> to potentially improve resilience</w:t>
      </w:r>
      <w:r w:rsidRPr="13B33B62">
        <w:rPr>
          <w:rFonts w:ascii="Cambria" w:eastAsia="Cambria" w:hAnsi="Cambria" w:cs="Cambria"/>
          <w:color w:val="000000" w:themeColor="text1"/>
          <w:sz w:val="24"/>
          <w:szCs w:val="24"/>
        </w:rPr>
        <w:t xml:space="preserve"> in place of o</w:t>
      </w:r>
      <w:r w:rsidR="00AE75F3" w:rsidRPr="00AE75F3">
        <w:rPr>
          <w:rFonts w:ascii="Cambria" w:eastAsia="Cambria" w:hAnsi="Cambria" w:cs="Cambria"/>
          <w:color w:val="000000" w:themeColor="text1"/>
          <w:sz w:val="24"/>
          <w:szCs w:val="24"/>
        </w:rPr>
        <w:t>pioid</w:t>
      </w:r>
      <w:r w:rsidR="00AE75F3" w:rsidRPr="00AE75F3" w:rsidDel="00AE75F3">
        <w:rPr>
          <w:rFonts w:ascii="Cambria" w:eastAsia="Cambria" w:hAnsi="Cambria" w:cs="Cambria"/>
          <w:color w:val="000000" w:themeColor="text1"/>
          <w:sz w:val="24"/>
          <w:szCs w:val="24"/>
        </w:rPr>
        <w:t xml:space="preserve"> </w:t>
      </w:r>
      <w:r w:rsidRPr="13B33B62">
        <w:rPr>
          <w:rFonts w:ascii="Cambria" w:eastAsia="Cambria" w:hAnsi="Cambria" w:cs="Cambria"/>
          <w:color w:val="000000" w:themeColor="text1"/>
          <w:sz w:val="24"/>
          <w:szCs w:val="24"/>
        </w:rPr>
        <w:t xml:space="preserve"> prescriptions for individuals with co-occurring anxiety and pain, particularly when considering the biological predispositions</w:t>
      </w:r>
      <w:r w:rsidR="0032203B">
        <w:rPr>
          <w:rFonts w:ascii="Cambria" w:eastAsia="Cambria" w:hAnsi="Cambria" w:cs="Cambria"/>
          <w:color w:val="000000" w:themeColor="text1"/>
          <w:sz w:val="24"/>
          <w:szCs w:val="24"/>
        </w:rPr>
        <w:t xml:space="preserve"> (i.e., vulnerability)</w:t>
      </w:r>
      <w:r w:rsidRPr="13B33B62">
        <w:rPr>
          <w:rFonts w:ascii="Cambria" w:eastAsia="Cambria" w:hAnsi="Cambria" w:cs="Cambria"/>
          <w:color w:val="000000" w:themeColor="text1"/>
          <w:sz w:val="24"/>
          <w:szCs w:val="24"/>
        </w:rPr>
        <w:t xml:space="preserve"> that may be present due to those who also have a history of childhood adversity or ACEs.</w:t>
      </w:r>
      <w:bookmarkEnd w:id="166"/>
      <w:r w:rsidRPr="13B33B62">
        <w:rPr>
          <w:rFonts w:ascii="Cambria" w:eastAsia="Cambria" w:hAnsi="Cambria" w:cs="Cambria"/>
          <w:color w:val="000000" w:themeColor="text1"/>
          <w:sz w:val="24"/>
          <w:szCs w:val="24"/>
        </w:rPr>
        <w:t xml:space="preserve"> </w:t>
      </w:r>
    </w:p>
    <w:bookmarkEnd w:id="167"/>
    <w:p w14:paraId="17E983FC" w14:textId="3BC472B4" w:rsidR="75FD6E45" w:rsidRDefault="75FD6E45" w:rsidP="002B0F75">
      <w:pPr>
        <w:spacing w:line="360" w:lineRule="auto"/>
        <w:rPr>
          <w:rFonts w:ascii="Cambria" w:eastAsia="Cambria" w:hAnsi="Cambria" w:cs="Cambria"/>
          <w:color w:val="000000" w:themeColor="text1"/>
          <w:sz w:val="24"/>
          <w:szCs w:val="24"/>
        </w:rPr>
      </w:pPr>
      <w:r w:rsidRPr="6E2346AC">
        <w:rPr>
          <w:rFonts w:ascii="Cambria" w:eastAsia="Cambria" w:hAnsi="Cambria" w:cs="Cambria"/>
          <w:color w:val="000000" w:themeColor="text1"/>
          <w:sz w:val="24"/>
          <w:szCs w:val="24"/>
        </w:rPr>
        <w:t xml:space="preserve">Healthcare providers and educators should also understand how much the effects of anxiety and chronic pain can be on everyday functioning, general health, and life quality, especially when compounded by the experience of ACEs. Patients who are in chronic pain may struggle with daily life and social activity, which are often perceived of as due to anxiety (Dueñas et al., 2016). Healthcare providers and educators need better insight into the complexities and diversification of the impact of childhood trauma history and anxiety are on experiences like chronic pain, as well as better tools to address these when patients disclose or report. Those who work in mental health with adults who suffer from anxiety would benefit from research data on links between a history of adversity and chronic pain, </w:t>
      </w:r>
      <w:r w:rsidRPr="6E2346AC">
        <w:rPr>
          <w:rFonts w:ascii="Cambria" w:eastAsia="Cambria" w:hAnsi="Cambria" w:cs="Cambria"/>
          <w:color w:val="000000" w:themeColor="text1"/>
          <w:sz w:val="24"/>
          <w:szCs w:val="24"/>
        </w:rPr>
        <w:lastRenderedPageBreak/>
        <w:t xml:space="preserve">so they can better support their patients and help them achieve realistic outcomes in adult life. If it becomes understood that nerve dysfunction and pain due to ACEs and/or anxiety are a permanent biological alteration that in part occurred due to early life adversity, care can be shifted to individualised management, perception control, and acceptance instead of cures and costly treatment options that fail to target the core issues. With statistical and clinical significance to support the complex relationships between childhood adversity, anxiety, and chronic pain, clinical providers will be more inclined to shift their standard care models. Hopefully with the informative data gathered through this thesis on this connection, future research will examine new treatment options altogether, and screening measures and questionnaires can be improved to reflect these nuances. </w:t>
      </w:r>
    </w:p>
    <w:p w14:paraId="562E8EEC" w14:textId="45D0574D" w:rsidR="75FD6E45" w:rsidRDefault="75FD6E45" w:rsidP="002B0F75">
      <w:pPr>
        <w:spacing w:line="360" w:lineRule="auto"/>
        <w:rPr>
          <w:rFonts w:ascii="Cambria" w:eastAsia="Cambria" w:hAnsi="Cambria" w:cs="Cambria"/>
          <w:color w:val="000000" w:themeColor="text1"/>
          <w:sz w:val="24"/>
          <w:szCs w:val="24"/>
        </w:rPr>
      </w:pPr>
      <w:r w:rsidRPr="6E2346AC">
        <w:rPr>
          <w:rFonts w:ascii="Cambria" w:eastAsia="Cambria" w:hAnsi="Cambria" w:cs="Cambria"/>
          <w:color w:val="000000" w:themeColor="text1"/>
          <w:sz w:val="24"/>
          <w:szCs w:val="24"/>
        </w:rPr>
        <w:t xml:space="preserve">Finally, regarding the most prevalent significant results identified for socio-demographic variables, it was income and education level that stood out. Historically, several mostly cross-sectional studies indicated that childhood socio-economic adversity was associated with increased inflammation in adults (Miller et al. 2009, Fraga et al. 2015, </w:t>
      </w:r>
      <w:proofErr w:type="spellStart"/>
      <w:r w:rsidRPr="6E2346AC">
        <w:rPr>
          <w:rFonts w:ascii="Cambria" w:eastAsia="Cambria" w:hAnsi="Cambria" w:cs="Cambria"/>
          <w:color w:val="000000" w:themeColor="text1"/>
          <w:sz w:val="24"/>
          <w:szCs w:val="24"/>
        </w:rPr>
        <w:t>Jousilahti</w:t>
      </w:r>
      <w:proofErr w:type="spellEnd"/>
      <w:r w:rsidRPr="6E2346AC">
        <w:rPr>
          <w:rFonts w:ascii="Cambria" w:eastAsia="Cambria" w:hAnsi="Cambria" w:cs="Cambria"/>
          <w:color w:val="000000" w:themeColor="text1"/>
          <w:sz w:val="24"/>
          <w:szCs w:val="24"/>
        </w:rPr>
        <w:t xml:space="preserve"> et al. 2003, Hemingway et al. 2003) and in children (Chen et al. 2006, Chen et al. 2003, </w:t>
      </w:r>
      <w:proofErr w:type="spellStart"/>
      <w:r w:rsidRPr="6E2346AC">
        <w:rPr>
          <w:rFonts w:ascii="Cambria" w:eastAsia="Cambria" w:hAnsi="Cambria" w:cs="Cambria"/>
          <w:color w:val="000000" w:themeColor="text1"/>
          <w:sz w:val="24"/>
          <w:szCs w:val="24"/>
        </w:rPr>
        <w:t>Slopen</w:t>
      </w:r>
      <w:proofErr w:type="spellEnd"/>
      <w:r w:rsidRPr="6E2346AC">
        <w:rPr>
          <w:rFonts w:ascii="Cambria" w:eastAsia="Cambria" w:hAnsi="Cambria" w:cs="Cambria"/>
          <w:color w:val="000000" w:themeColor="text1"/>
          <w:sz w:val="24"/>
          <w:szCs w:val="24"/>
        </w:rPr>
        <w:t xml:space="preserve"> et al. 2013). Based on prior research, lower education and income level appeared to be two main socio-economic factors associated with increased inflammation in adults (</w:t>
      </w:r>
      <w:proofErr w:type="spellStart"/>
      <w:r w:rsidRPr="6E2346AC">
        <w:rPr>
          <w:rFonts w:ascii="Cambria" w:eastAsia="Cambria" w:hAnsi="Cambria" w:cs="Cambria"/>
          <w:color w:val="000000" w:themeColor="text1"/>
          <w:sz w:val="24"/>
          <w:szCs w:val="24"/>
        </w:rPr>
        <w:t>Panagiotakos</w:t>
      </w:r>
      <w:proofErr w:type="spellEnd"/>
      <w:r w:rsidRPr="6E2346AC">
        <w:rPr>
          <w:rFonts w:ascii="Cambria" w:eastAsia="Cambria" w:hAnsi="Cambria" w:cs="Cambria"/>
          <w:color w:val="000000" w:themeColor="text1"/>
          <w:sz w:val="24"/>
          <w:szCs w:val="24"/>
        </w:rPr>
        <w:t xml:space="preserve"> et al. 2005, Fraga et al. 2015, Ranjit et al. 2007, </w:t>
      </w:r>
      <w:proofErr w:type="spellStart"/>
      <w:r w:rsidRPr="6E2346AC">
        <w:rPr>
          <w:rFonts w:ascii="Cambria" w:eastAsia="Cambria" w:hAnsi="Cambria" w:cs="Cambria"/>
          <w:color w:val="000000" w:themeColor="text1"/>
          <w:sz w:val="24"/>
          <w:szCs w:val="24"/>
        </w:rPr>
        <w:t>Steinvil</w:t>
      </w:r>
      <w:proofErr w:type="spellEnd"/>
      <w:r w:rsidRPr="6E2346AC">
        <w:rPr>
          <w:rFonts w:ascii="Cambria" w:eastAsia="Cambria" w:hAnsi="Cambria" w:cs="Cambria"/>
          <w:color w:val="000000" w:themeColor="text1"/>
          <w:sz w:val="24"/>
          <w:szCs w:val="24"/>
        </w:rPr>
        <w:t xml:space="preserve"> et al. 2008), as was demonstrated in the present MIDUS analysis with CRP levels specifically. It is worth considering that if both childhood and adult adverse socio-economic status impact inflammation levels across the lifespan (Kelly-Irving et al. 2013, Ben-Shlomo et al. 2002), </w:t>
      </w:r>
      <w:r w:rsidRPr="00160CA2">
        <w:rPr>
          <w:rFonts w:ascii="Cambria" w:eastAsia="Cambria" w:hAnsi="Cambria" w:cs="Cambria"/>
          <w:sz w:val="24"/>
          <w:szCs w:val="24"/>
        </w:rPr>
        <w:t xml:space="preserve">how these aspects could be integrated appropriately into current screening measures appropriately. </w:t>
      </w:r>
      <w:r w:rsidRPr="6E2346AC">
        <w:rPr>
          <w:rFonts w:ascii="Cambria" w:eastAsia="Cambria" w:hAnsi="Cambria" w:cs="Cambria"/>
          <w:color w:val="000000" w:themeColor="text1"/>
          <w:sz w:val="24"/>
          <w:szCs w:val="24"/>
        </w:rPr>
        <w:t xml:space="preserve">As the present studies also revealed multiple significant results for neglect (emotional or physical) as either an ACE or a childhood adversity variable, perhaps lower income status and lower educational opportunity could be carefully factored into current questionnaires covering neglect as a form of childhood trauma. </w:t>
      </w:r>
    </w:p>
    <w:p w14:paraId="31B4D74E" w14:textId="01E35D2E" w:rsidR="6E2346AC" w:rsidRDefault="6E2346AC" w:rsidP="00861CD3">
      <w:pPr>
        <w:spacing w:line="360" w:lineRule="auto"/>
        <w:rPr>
          <w:rFonts w:ascii="Cambria" w:eastAsia="Cambria" w:hAnsi="Cambria" w:cs="Cambria"/>
          <w:color w:val="000000" w:themeColor="text1"/>
          <w:sz w:val="24"/>
          <w:szCs w:val="24"/>
        </w:rPr>
      </w:pPr>
    </w:p>
    <w:p w14:paraId="36E68061" w14:textId="06B0E870" w:rsidR="75FD6E45" w:rsidRDefault="75FD6E45" w:rsidP="00861CD3">
      <w:pPr>
        <w:spacing w:line="360" w:lineRule="auto"/>
        <w:rPr>
          <w:rFonts w:ascii="Cambria" w:eastAsia="Cambria" w:hAnsi="Cambria" w:cs="Cambria"/>
          <w:color w:val="000000" w:themeColor="text1"/>
          <w:sz w:val="24"/>
          <w:szCs w:val="24"/>
        </w:rPr>
      </w:pPr>
      <w:r w:rsidRPr="6E2346AC">
        <w:rPr>
          <w:rFonts w:ascii="Cambria" w:eastAsia="Cambria" w:hAnsi="Cambria" w:cs="Cambria"/>
          <w:b/>
          <w:bCs/>
          <w:i/>
          <w:iCs/>
          <w:color w:val="000000" w:themeColor="text1"/>
          <w:sz w:val="24"/>
          <w:szCs w:val="24"/>
        </w:rPr>
        <w:t>Conclusions</w:t>
      </w:r>
    </w:p>
    <w:p w14:paraId="144A02B5" w14:textId="22935686" w:rsidR="75FD6E45" w:rsidRDefault="75FD6E45" w:rsidP="002B0F75">
      <w:pPr>
        <w:spacing w:line="360" w:lineRule="auto"/>
        <w:rPr>
          <w:rFonts w:ascii="Cambria" w:eastAsia="Cambria" w:hAnsi="Cambria" w:cs="Cambria"/>
          <w:color w:val="000000" w:themeColor="text1"/>
          <w:sz w:val="24"/>
          <w:szCs w:val="24"/>
        </w:rPr>
      </w:pPr>
      <w:r w:rsidRPr="66A0210A">
        <w:rPr>
          <w:rFonts w:ascii="Cambria" w:eastAsia="Cambria" w:hAnsi="Cambria" w:cs="Cambria"/>
          <w:color w:val="000000" w:themeColor="text1"/>
          <w:sz w:val="24"/>
          <w:szCs w:val="24"/>
        </w:rPr>
        <w:lastRenderedPageBreak/>
        <w:t>In conclusion, the present thesis showed that both ACEs and anxiety influenced chronic pain experience in adults based on the systematic literature review, meta-analysis, and UK-based analysis that also included CRP. However, anxiety did not seem to play a meaningful role in the US-based study, which also accounted for socio</w:t>
      </w:r>
      <w:r w:rsidR="335EF500" w:rsidRPr="66A0210A">
        <w:rPr>
          <w:rFonts w:ascii="Cambria" w:eastAsia="Cambria" w:hAnsi="Cambria" w:cs="Cambria"/>
          <w:color w:val="000000" w:themeColor="text1"/>
          <w:sz w:val="24"/>
          <w:szCs w:val="24"/>
        </w:rPr>
        <w:t>-</w:t>
      </w:r>
      <w:r w:rsidRPr="66A0210A">
        <w:rPr>
          <w:rFonts w:ascii="Cambria" w:eastAsia="Cambria" w:hAnsi="Cambria" w:cs="Cambria"/>
          <w:color w:val="000000" w:themeColor="text1"/>
          <w:sz w:val="24"/>
          <w:szCs w:val="24"/>
        </w:rPr>
        <w:t xml:space="preserve">demographic variables and </w:t>
      </w:r>
      <w:r w:rsidRPr="00160CA2">
        <w:rPr>
          <w:rFonts w:ascii="Cambria" w:eastAsia="Cambria" w:hAnsi="Cambria" w:cs="Cambria"/>
          <w:sz w:val="24"/>
          <w:szCs w:val="24"/>
        </w:rPr>
        <w:t>evaluated the impact on</w:t>
      </w:r>
      <w:r w:rsidRPr="00160CA2">
        <w:rPr>
          <w:rFonts w:ascii="Cambria" w:eastAsia="Cambria" w:hAnsi="Cambria" w:cs="Cambria"/>
          <w:sz w:val="24"/>
          <w:szCs w:val="24"/>
          <w:u w:val="single"/>
        </w:rPr>
        <w:t xml:space="preserve"> </w:t>
      </w:r>
      <w:r w:rsidRPr="66A0210A">
        <w:rPr>
          <w:rFonts w:ascii="Cambria" w:eastAsia="Cambria" w:hAnsi="Cambria" w:cs="Cambria"/>
          <w:color w:val="000000" w:themeColor="text1"/>
          <w:sz w:val="24"/>
          <w:szCs w:val="24"/>
        </w:rPr>
        <w:t>pain medication usage. This suggests that future research and practice should focus on comprehensively accounting for the nuanced complexities in the association between ACEs and chronic pain experiences</w:t>
      </w:r>
      <w:r w:rsidR="20489487" w:rsidRPr="66A0210A">
        <w:rPr>
          <w:rFonts w:ascii="Cambria" w:eastAsia="Cambria" w:hAnsi="Cambria" w:cs="Cambria"/>
          <w:color w:val="000000" w:themeColor="text1"/>
          <w:sz w:val="24"/>
          <w:szCs w:val="24"/>
        </w:rPr>
        <w:t>, and in particular the influence of socio-demographic variables</w:t>
      </w:r>
      <w:r w:rsidRPr="66A0210A">
        <w:rPr>
          <w:rFonts w:ascii="Cambria" w:eastAsia="Cambria" w:hAnsi="Cambria" w:cs="Cambria"/>
          <w:color w:val="000000" w:themeColor="text1"/>
          <w:sz w:val="24"/>
          <w:szCs w:val="24"/>
        </w:rPr>
        <w:t>.</w:t>
      </w:r>
    </w:p>
    <w:p w14:paraId="29BEF827" w14:textId="45D0BCCB" w:rsidR="6E2346AC" w:rsidRDefault="6E2346AC" w:rsidP="002B0F75">
      <w:pPr>
        <w:spacing w:line="360" w:lineRule="auto"/>
        <w:rPr>
          <w:rFonts w:ascii="Cambria" w:eastAsia="Cambria" w:hAnsi="Cambria" w:cs="Cambria"/>
          <w:color w:val="000000" w:themeColor="text1"/>
          <w:sz w:val="24"/>
          <w:szCs w:val="24"/>
        </w:rPr>
      </w:pPr>
    </w:p>
    <w:p w14:paraId="590CDF67" w14:textId="2C6ACD38" w:rsidR="6E2346AC" w:rsidRDefault="6E2346AC" w:rsidP="002B0F75">
      <w:pPr>
        <w:pStyle w:val="Heading1"/>
        <w:spacing w:line="360" w:lineRule="auto"/>
      </w:pPr>
    </w:p>
    <w:p w14:paraId="2CA2A3C8" w14:textId="7E6C45B8" w:rsidR="6E2346AC" w:rsidRDefault="6E2346AC" w:rsidP="002B0F75">
      <w:pPr>
        <w:spacing w:line="360" w:lineRule="auto"/>
      </w:pPr>
    </w:p>
    <w:p w14:paraId="6A9EB6DC" w14:textId="14FF6E05" w:rsidR="13B33B62" w:rsidRDefault="13B33B62" w:rsidP="002B0F75">
      <w:pPr>
        <w:spacing w:line="360" w:lineRule="auto"/>
      </w:pPr>
      <w:r>
        <w:br w:type="page"/>
      </w:r>
    </w:p>
    <w:p w14:paraId="18AEDC40" w14:textId="33D833BF" w:rsidR="0054021C" w:rsidRPr="0054021C" w:rsidRDefault="4094B0D2" w:rsidP="002B0F75">
      <w:pPr>
        <w:spacing w:line="360" w:lineRule="auto"/>
        <w:rPr>
          <w:rFonts w:ascii="Cambria" w:hAnsi="Cambria"/>
          <w:b/>
          <w:bCs/>
          <w:sz w:val="24"/>
          <w:szCs w:val="24"/>
        </w:rPr>
      </w:pPr>
      <w:r w:rsidRPr="13B33B62">
        <w:rPr>
          <w:rFonts w:ascii="Cambria" w:hAnsi="Cambria"/>
          <w:b/>
          <w:bCs/>
          <w:sz w:val="24"/>
          <w:szCs w:val="24"/>
        </w:rPr>
        <w:lastRenderedPageBreak/>
        <w:t>Chapter Five r</w:t>
      </w:r>
      <w:r w:rsidR="0054021C" w:rsidRPr="13B33B62">
        <w:rPr>
          <w:rFonts w:ascii="Cambria" w:hAnsi="Cambria"/>
          <w:b/>
          <w:bCs/>
          <w:sz w:val="24"/>
          <w:szCs w:val="24"/>
        </w:rPr>
        <w:t>eferences</w:t>
      </w:r>
    </w:p>
    <w:p w14:paraId="3B232F4E" w14:textId="7F9F5890" w:rsidR="00906B07" w:rsidRDefault="00906B07" w:rsidP="002B0F75">
      <w:pPr>
        <w:spacing w:line="360" w:lineRule="auto"/>
        <w:rPr>
          <w:rFonts w:ascii="Cambria" w:hAnsi="Cambria"/>
          <w:sz w:val="24"/>
          <w:szCs w:val="24"/>
        </w:rPr>
      </w:pPr>
      <w:bookmarkStart w:id="168" w:name="_Hlk168242654"/>
      <w:proofErr w:type="spellStart"/>
      <w:r w:rsidRPr="00906B07">
        <w:rPr>
          <w:rFonts w:ascii="Cambria" w:hAnsi="Cambria"/>
          <w:sz w:val="24"/>
          <w:szCs w:val="24"/>
          <w:lang w:val="en-US"/>
        </w:rPr>
        <w:t>Benjet</w:t>
      </w:r>
      <w:proofErr w:type="spellEnd"/>
      <w:r w:rsidRPr="00906B07">
        <w:rPr>
          <w:rFonts w:ascii="Cambria" w:hAnsi="Cambria"/>
          <w:sz w:val="24"/>
          <w:szCs w:val="24"/>
          <w:lang w:val="en-US"/>
        </w:rPr>
        <w:t xml:space="preserve"> C, </w:t>
      </w:r>
      <w:proofErr w:type="spellStart"/>
      <w:r w:rsidRPr="00906B07">
        <w:rPr>
          <w:rFonts w:ascii="Cambria" w:hAnsi="Cambria"/>
          <w:sz w:val="24"/>
          <w:szCs w:val="24"/>
          <w:lang w:val="en-US"/>
        </w:rPr>
        <w:t>Bromet</w:t>
      </w:r>
      <w:proofErr w:type="spellEnd"/>
      <w:r w:rsidRPr="00906B07">
        <w:rPr>
          <w:rFonts w:ascii="Cambria" w:hAnsi="Cambria"/>
          <w:sz w:val="24"/>
          <w:szCs w:val="24"/>
          <w:lang w:val="en-US"/>
        </w:rPr>
        <w:t xml:space="preserve"> E, Karam EG, et al. The epidemiology of traumatic event exposure worldwide: results from the World Mental Health Survey Consortium. </w:t>
      </w:r>
      <w:r w:rsidRPr="00906B07">
        <w:rPr>
          <w:rFonts w:ascii="Cambria" w:hAnsi="Cambria"/>
          <w:i/>
          <w:iCs/>
          <w:sz w:val="24"/>
          <w:szCs w:val="24"/>
          <w:lang w:val="en-US"/>
        </w:rPr>
        <w:t>Psychological Medicine</w:t>
      </w:r>
      <w:r w:rsidRPr="00906B07">
        <w:rPr>
          <w:rFonts w:ascii="Cambria" w:hAnsi="Cambria"/>
          <w:sz w:val="24"/>
          <w:szCs w:val="24"/>
          <w:lang w:val="en-US"/>
        </w:rPr>
        <w:t>. 2016;46(2):327-343.</w:t>
      </w:r>
    </w:p>
    <w:p w14:paraId="07444830" w14:textId="3F4AFEF1"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Ben-Shlomo </w:t>
      </w:r>
      <w:bookmarkEnd w:id="168"/>
      <w:r w:rsidRPr="0054021C">
        <w:rPr>
          <w:rFonts w:ascii="Cambria" w:hAnsi="Cambria"/>
          <w:sz w:val="24"/>
          <w:szCs w:val="24"/>
        </w:rPr>
        <w:t>Y, Kuh D. A life course approach to chronic disease epidemiology: conceptual models, empirical challenges and interdisciplinary perspectives. </w:t>
      </w:r>
      <w:r w:rsidRPr="0054021C">
        <w:rPr>
          <w:rFonts w:ascii="Cambria" w:hAnsi="Cambria"/>
          <w:i/>
          <w:iCs/>
          <w:sz w:val="24"/>
          <w:szCs w:val="24"/>
        </w:rPr>
        <w:t xml:space="preserve">Int J </w:t>
      </w:r>
      <w:proofErr w:type="spellStart"/>
      <w:r w:rsidRPr="0054021C">
        <w:rPr>
          <w:rFonts w:ascii="Cambria" w:hAnsi="Cambria"/>
          <w:i/>
          <w:iCs/>
          <w:sz w:val="24"/>
          <w:szCs w:val="24"/>
        </w:rPr>
        <w:t>Epidemiol</w:t>
      </w:r>
      <w:proofErr w:type="spellEnd"/>
      <w:r w:rsidRPr="0054021C">
        <w:rPr>
          <w:rFonts w:ascii="Cambria" w:hAnsi="Cambria"/>
          <w:i/>
          <w:iCs/>
          <w:sz w:val="24"/>
          <w:szCs w:val="24"/>
        </w:rPr>
        <w:t>. </w:t>
      </w:r>
      <w:r w:rsidRPr="0054021C">
        <w:rPr>
          <w:rFonts w:ascii="Cambria" w:hAnsi="Cambria"/>
          <w:sz w:val="24"/>
          <w:szCs w:val="24"/>
        </w:rPr>
        <w:t>2002;31(2):285–293.</w:t>
      </w:r>
    </w:p>
    <w:p w14:paraId="6192111C"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Camelo LV, </w:t>
      </w:r>
      <w:proofErr w:type="spellStart"/>
      <w:r w:rsidRPr="0054021C">
        <w:rPr>
          <w:rFonts w:ascii="Cambria" w:hAnsi="Cambria"/>
          <w:sz w:val="24"/>
          <w:szCs w:val="24"/>
        </w:rPr>
        <w:t>Giatti</w:t>
      </w:r>
      <w:proofErr w:type="spellEnd"/>
      <w:r w:rsidRPr="0054021C">
        <w:rPr>
          <w:rFonts w:ascii="Cambria" w:hAnsi="Cambria"/>
          <w:sz w:val="24"/>
          <w:szCs w:val="24"/>
        </w:rPr>
        <w:t xml:space="preserve"> L, Neves JA, </w:t>
      </w:r>
      <w:proofErr w:type="spellStart"/>
      <w:r w:rsidRPr="0054021C">
        <w:rPr>
          <w:rFonts w:ascii="Cambria" w:hAnsi="Cambria"/>
          <w:sz w:val="24"/>
          <w:szCs w:val="24"/>
        </w:rPr>
        <w:t>Lotufo</w:t>
      </w:r>
      <w:proofErr w:type="spellEnd"/>
      <w:r w:rsidRPr="0054021C">
        <w:rPr>
          <w:rFonts w:ascii="Cambria" w:hAnsi="Cambria"/>
          <w:sz w:val="24"/>
          <w:szCs w:val="24"/>
        </w:rPr>
        <w:t xml:space="preserve"> PA, </w:t>
      </w:r>
      <w:proofErr w:type="spellStart"/>
      <w:r w:rsidRPr="0054021C">
        <w:rPr>
          <w:rFonts w:ascii="Cambria" w:hAnsi="Cambria"/>
          <w:sz w:val="24"/>
          <w:szCs w:val="24"/>
        </w:rPr>
        <w:t>Bensenor</w:t>
      </w:r>
      <w:proofErr w:type="spellEnd"/>
      <w:r w:rsidRPr="0054021C">
        <w:rPr>
          <w:rFonts w:ascii="Cambria" w:hAnsi="Cambria"/>
          <w:sz w:val="24"/>
          <w:szCs w:val="24"/>
        </w:rPr>
        <w:t xml:space="preserve"> IM, Chor D, Griep RH, da Fonseca MJ, Vidigal PG, Kawachi I, Schmidt MI, Barreto SM. Life course socioeconomic position and C-reactive protein: mediating role of health-risk </w:t>
      </w:r>
      <w:proofErr w:type="spellStart"/>
      <w:r w:rsidRPr="0054021C">
        <w:rPr>
          <w:rFonts w:ascii="Cambria" w:hAnsi="Cambria"/>
          <w:sz w:val="24"/>
          <w:szCs w:val="24"/>
        </w:rPr>
        <w:t>behaviors</w:t>
      </w:r>
      <w:proofErr w:type="spellEnd"/>
      <w:r w:rsidRPr="0054021C">
        <w:rPr>
          <w:rFonts w:ascii="Cambria" w:hAnsi="Cambria"/>
          <w:sz w:val="24"/>
          <w:szCs w:val="24"/>
        </w:rPr>
        <w:t xml:space="preserve"> and metabolic alterations. </w:t>
      </w:r>
      <w:bookmarkStart w:id="169" w:name="_Hlk168158488"/>
      <w:r w:rsidRPr="0054021C">
        <w:rPr>
          <w:rFonts w:ascii="Cambria" w:hAnsi="Cambria"/>
          <w:sz w:val="24"/>
          <w:szCs w:val="24"/>
        </w:rPr>
        <w:t>The Brazilian Longitudinal Study of Adult Health</w:t>
      </w:r>
      <w:bookmarkEnd w:id="169"/>
      <w:r w:rsidRPr="0054021C">
        <w:rPr>
          <w:rFonts w:ascii="Cambria" w:hAnsi="Cambria"/>
          <w:sz w:val="24"/>
          <w:szCs w:val="24"/>
        </w:rPr>
        <w:t xml:space="preserve"> (ELSA-</w:t>
      </w:r>
      <w:proofErr w:type="spellStart"/>
      <w:r w:rsidRPr="0054021C">
        <w:rPr>
          <w:rFonts w:ascii="Cambria" w:hAnsi="Cambria"/>
          <w:sz w:val="24"/>
          <w:szCs w:val="24"/>
        </w:rPr>
        <w:t>Brasil</w:t>
      </w:r>
      <w:proofErr w:type="spellEnd"/>
      <w:r w:rsidRPr="0054021C">
        <w:rPr>
          <w:rFonts w:ascii="Cambria" w:hAnsi="Cambria"/>
          <w:sz w:val="24"/>
          <w:szCs w:val="24"/>
        </w:rPr>
        <w:t>) </w:t>
      </w:r>
      <w:proofErr w:type="spellStart"/>
      <w:r w:rsidRPr="0054021C">
        <w:rPr>
          <w:rFonts w:ascii="Cambria" w:hAnsi="Cambria"/>
          <w:i/>
          <w:iCs/>
          <w:sz w:val="24"/>
          <w:szCs w:val="24"/>
        </w:rPr>
        <w:t>PLoS</w:t>
      </w:r>
      <w:proofErr w:type="spellEnd"/>
      <w:r w:rsidRPr="0054021C">
        <w:rPr>
          <w:rFonts w:ascii="Cambria" w:hAnsi="Cambria"/>
          <w:i/>
          <w:iCs/>
          <w:sz w:val="24"/>
          <w:szCs w:val="24"/>
        </w:rPr>
        <w:t xml:space="preserve"> One. </w:t>
      </w:r>
      <w:r w:rsidRPr="0054021C">
        <w:rPr>
          <w:rFonts w:ascii="Cambria" w:hAnsi="Cambria"/>
          <w:sz w:val="24"/>
          <w:szCs w:val="24"/>
        </w:rPr>
        <w:t>2014;9(10</w:t>
      </w:r>
      <w:proofErr w:type="gramStart"/>
      <w:r w:rsidRPr="0054021C">
        <w:rPr>
          <w:rFonts w:ascii="Cambria" w:hAnsi="Cambria"/>
          <w:sz w:val="24"/>
          <w:szCs w:val="24"/>
        </w:rPr>
        <w:t>):e</w:t>
      </w:r>
      <w:proofErr w:type="gramEnd"/>
      <w:r w:rsidRPr="0054021C">
        <w:rPr>
          <w:rFonts w:ascii="Cambria" w:hAnsi="Cambria"/>
          <w:sz w:val="24"/>
          <w:szCs w:val="24"/>
        </w:rPr>
        <w:t>108426.</w:t>
      </w:r>
    </w:p>
    <w:p w14:paraId="3BA73770"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Chen M, Lacey RE. Adverse childhood experiences and adult inflammation: findings from the 1958 </w:t>
      </w:r>
      <w:proofErr w:type="spellStart"/>
      <w:r w:rsidRPr="0054021C">
        <w:rPr>
          <w:rFonts w:ascii="Cambria" w:hAnsi="Cambria"/>
          <w:sz w:val="24"/>
          <w:szCs w:val="24"/>
        </w:rPr>
        <w:t>british</w:t>
      </w:r>
      <w:proofErr w:type="spellEnd"/>
      <w:r w:rsidRPr="0054021C">
        <w:rPr>
          <w:rFonts w:ascii="Cambria" w:hAnsi="Cambria"/>
          <w:sz w:val="24"/>
          <w:szCs w:val="24"/>
        </w:rPr>
        <w:t xml:space="preserve"> birth cohort. </w:t>
      </w:r>
      <w:r w:rsidRPr="0054021C">
        <w:rPr>
          <w:rFonts w:ascii="Cambria" w:hAnsi="Cambria"/>
          <w:i/>
          <w:iCs/>
          <w:sz w:val="24"/>
          <w:szCs w:val="24"/>
        </w:rPr>
        <w:t xml:space="preserve">Brain </w:t>
      </w:r>
      <w:proofErr w:type="spellStart"/>
      <w:r w:rsidRPr="0054021C">
        <w:rPr>
          <w:rFonts w:ascii="Cambria" w:hAnsi="Cambria"/>
          <w:i/>
          <w:iCs/>
          <w:sz w:val="24"/>
          <w:szCs w:val="24"/>
        </w:rPr>
        <w:t>Behav</w:t>
      </w:r>
      <w:proofErr w:type="spellEnd"/>
      <w:r w:rsidRPr="0054021C">
        <w:rPr>
          <w:rFonts w:ascii="Cambria" w:hAnsi="Cambria"/>
          <w:i/>
          <w:iCs/>
          <w:sz w:val="24"/>
          <w:szCs w:val="24"/>
        </w:rPr>
        <w:t xml:space="preserve"> Immun.</w:t>
      </w:r>
      <w:r w:rsidRPr="0054021C">
        <w:rPr>
          <w:rFonts w:ascii="Cambria" w:hAnsi="Cambria"/>
          <w:sz w:val="24"/>
          <w:szCs w:val="24"/>
        </w:rPr>
        <w:t xml:space="preserve"> (2018) 69:582–90. </w:t>
      </w:r>
      <w:proofErr w:type="spellStart"/>
      <w:r w:rsidRPr="0054021C">
        <w:rPr>
          <w:rFonts w:ascii="Cambria" w:hAnsi="Cambria"/>
          <w:sz w:val="24"/>
          <w:szCs w:val="24"/>
        </w:rPr>
        <w:t>doi</w:t>
      </w:r>
      <w:proofErr w:type="spellEnd"/>
      <w:r w:rsidRPr="0054021C">
        <w:rPr>
          <w:rFonts w:ascii="Cambria" w:hAnsi="Cambria"/>
          <w:sz w:val="24"/>
          <w:szCs w:val="24"/>
        </w:rPr>
        <w:t>: 10.1016/j.bbi.2018.02.007.</w:t>
      </w:r>
    </w:p>
    <w:p w14:paraId="19069C7B"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Chen E, Hanson MD, Paterson LQ, Griffin MJ, Walker HA, Miller GE. Socioeconomic status and inflammatory processes in childhood asthma: the role of psychological stress. </w:t>
      </w:r>
      <w:r w:rsidRPr="0054021C">
        <w:rPr>
          <w:rFonts w:ascii="Cambria" w:hAnsi="Cambria"/>
          <w:i/>
          <w:iCs/>
          <w:sz w:val="24"/>
          <w:szCs w:val="24"/>
        </w:rPr>
        <w:t>J Allergy Clin Immunol. </w:t>
      </w:r>
      <w:r w:rsidRPr="0054021C">
        <w:rPr>
          <w:rFonts w:ascii="Cambria" w:hAnsi="Cambria"/>
          <w:sz w:val="24"/>
          <w:szCs w:val="24"/>
        </w:rPr>
        <w:t>2006;117(5):1014–1020.</w:t>
      </w:r>
    </w:p>
    <w:p w14:paraId="2DADD787" w14:textId="77777777" w:rsidR="0054021C" w:rsidRDefault="0054021C" w:rsidP="002B0F75">
      <w:pPr>
        <w:spacing w:line="360" w:lineRule="auto"/>
        <w:rPr>
          <w:rFonts w:ascii="Cambria" w:hAnsi="Cambria"/>
          <w:sz w:val="24"/>
          <w:szCs w:val="24"/>
        </w:rPr>
      </w:pPr>
      <w:r w:rsidRPr="0054021C">
        <w:rPr>
          <w:rFonts w:ascii="Cambria" w:hAnsi="Cambria"/>
          <w:sz w:val="24"/>
          <w:szCs w:val="24"/>
        </w:rPr>
        <w:t xml:space="preserve">Chen E, Fisher EB, </w:t>
      </w:r>
      <w:proofErr w:type="spellStart"/>
      <w:r w:rsidRPr="0054021C">
        <w:rPr>
          <w:rFonts w:ascii="Cambria" w:hAnsi="Cambria"/>
          <w:sz w:val="24"/>
          <w:szCs w:val="24"/>
        </w:rPr>
        <w:t>Bacharier</w:t>
      </w:r>
      <w:proofErr w:type="spellEnd"/>
      <w:r w:rsidRPr="0054021C">
        <w:rPr>
          <w:rFonts w:ascii="Cambria" w:hAnsi="Cambria"/>
          <w:sz w:val="24"/>
          <w:szCs w:val="24"/>
        </w:rPr>
        <w:t xml:space="preserve"> LB, Strunk RC. Socioeconomic status, stress, and immune markers in adolescents with asthma. </w:t>
      </w:r>
      <w:proofErr w:type="spellStart"/>
      <w:r w:rsidRPr="0054021C">
        <w:rPr>
          <w:rFonts w:ascii="Cambria" w:hAnsi="Cambria"/>
          <w:i/>
          <w:iCs/>
          <w:sz w:val="24"/>
          <w:szCs w:val="24"/>
        </w:rPr>
        <w:t>Psychosom</w:t>
      </w:r>
      <w:proofErr w:type="spellEnd"/>
      <w:r w:rsidRPr="0054021C">
        <w:rPr>
          <w:rFonts w:ascii="Cambria" w:hAnsi="Cambria"/>
          <w:i/>
          <w:iCs/>
          <w:sz w:val="24"/>
          <w:szCs w:val="24"/>
        </w:rPr>
        <w:t xml:space="preserve"> Med. </w:t>
      </w:r>
      <w:r w:rsidRPr="0054021C">
        <w:rPr>
          <w:rFonts w:ascii="Cambria" w:hAnsi="Cambria"/>
          <w:sz w:val="24"/>
          <w:szCs w:val="24"/>
        </w:rPr>
        <w:t>2003;65(6):984–992.</w:t>
      </w:r>
    </w:p>
    <w:p w14:paraId="6E49F3D8" w14:textId="42ECD9F3" w:rsidR="00906B07" w:rsidRPr="0054021C" w:rsidRDefault="00906B07" w:rsidP="002B0F75">
      <w:pPr>
        <w:spacing w:line="360" w:lineRule="auto"/>
        <w:rPr>
          <w:rFonts w:ascii="Cambria" w:hAnsi="Cambria"/>
          <w:sz w:val="24"/>
          <w:szCs w:val="24"/>
        </w:rPr>
      </w:pPr>
      <w:bookmarkStart w:id="170" w:name="_Hlk179645153"/>
      <w:proofErr w:type="spellStart"/>
      <w:r w:rsidRPr="00906B07">
        <w:rPr>
          <w:rFonts w:ascii="Cambria" w:hAnsi="Cambria"/>
          <w:sz w:val="24"/>
          <w:szCs w:val="24"/>
          <w:lang w:val="en-US"/>
        </w:rPr>
        <w:t>Dahlhamer</w:t>
      </w:r>
      <w:bookmarkEnd w:id="170"/>
      <w:proofErr w:type="spellEnd"/>
      <w:r w:rsidRPr="00906B07">
        <w:rPr>
          <w:rFonts w:ascii="Cambria" w:hAnsi="Cambria"/>
          <w:sz w:val="24"/>
          <w:szCs w:val="24"/>
          <w:lang w:val="en-US"/>
        </w:rPr>
        <w:t xml:space="preserve"> J, Lucas J, Zelaya, C, et al. Prevalence of Chronic Pain and High-Impact Chronic Pain Among Adults — United States, 2016. MMWR </w:t>
      </w:r>
      <w:proofErr w:type="spellStart"/>
      <w:r w:rsidRPr="00906B07">
        <w:rPr>
          <w:rFonts w:ascii="Cambria" w:hAnsi="Cambria"/>
          <w:sz w:val="24"/>
          <w:szCs w:val="24"/>
          <w:lang w:val="en-US"/>
        </w:rPr>
        <w:t>Morb</w:t>
      </w:r>
      <w:proofErr w:type="spellEnd"/>
      <w:r w:rsidRPr="00906B07">
        <w:rPr>
          <w:rFonts w:ascii="Cambria" w:hAnsi="Cambria"/>
          <w:sz w:val="24"/>
          <w:szCs w:val="24"/>
          <w:lang w:val="en-US"/>
        </w:rPr>
        <w:t xml:space="preserve"> Mortal </w:t>
      </w:r>
      <w:proofErr w:type="spellStart"/>
      <w:r w:rsidRPr="00906B07">
        <w:rPr>
          <w:rFonts w:ascii="Cambria" w:hAnsi="Cambria"/>
          <w:sz w:val="24"/>
          <w:szCs w:val="24"/>
          <w:lang w:val="en-US"/>
        </w:rPr>
        <w:t>Wkly</w:t>
      </w:r>
      <w:proofErr w:type="spellEnd"/>
      <w:r w:rsidRPr="00906B07">
        <w:rPr>
          <w:rFonts w:ascii="Cambria" w:hAnsi="Cambria"/>
          <w:sz w:val="24"/>
          <w:szCs w:val="24"/>
          <w:lang w:val="en-US"/>
        </w:rPr>
        <w:t xml:space="preserve"> Rep </w:t>
      </w:r>
      <w:proofErr w:type="gramStart"/>
      <w:r w:rsidRPr="00906B07">
        <w:rPr>
          <w:rFonts w:ascii="Cambria" w:hAnsi="Cambria"/>
          <w:sz w:val="24"/>
          <w:szCs w:val="24"/>
          <w:lang w:val="en-US"/>
        </w:rPr>
        <w:t>2018;67:1001</w:t>
      </w:r>
      <w:proofErr w:type="gramEnd"/>
      <w:r w:rsidRPr="00906B07">
        <w:rPr>
          <w:rFonts w:ascii="Cambria" w:hAnsi="Cambria"/>
          <w:sz w:val="24"/>
          <w:szCs w:val="24"/>
          <w:lang w:val="en-US"/>
        </w:rPr>
        <w:t>–1006.</w:t>
      </w:r>
    </w:p>
    <w:p w14:paraId="01321C68"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Danese A, </w:t>
      </w:r>
      <w:proofErr w:type="spellStart"/>
      <w:r w:rsidRPr="0054021C">
        <w:rPr>
          <w:rFonts w:ascii="Cambria" w:hAnsi="Cambria"/>
          <w:sz w:val="24"/>
          <w:szCs w:val="24"/>
        </w:rPr>
        <w:t>Pariante</w:t>
      </w:r>
      <w:proofErr w:type="spellEnd"/>
      <w:r w:rsidRPr="0054021C">
        <w:rPr>
          <w:rFonts w:ascii="Cambria" w:hAnsi="Cambria"/>
          <w:sz w:val="24"/>
          <w:szCs w:val="24"/>
        </w:rPr>
        <w:t xml:space="preserve"> CM, Caspi A, Taylor A, Poulton R. Childhood maltreatment predicts adult inflammation in a life-course study. </w:t>
      </w:r>
      <w:r w:rsidRPr="0054021C">
        <w:rPr>
          <w:rFonts w:ascii="Cambria" w:hAnsi="Cambria"/>
          <w:i/>
          <w:iCs/>
          <w:sz w:val="24"/>
          <w:szCs w:val="24"/>
        </w:rPr>
        <w:t xml:space="preserve">Proc Natl </w:t>
      </w:r>
      <w:proofErr w:type="spellStart"/>
      <w:r w:rsidRPr="0054021C">
        <w:rPr>
          <w:rFonts w:ascii="Cambria" w:hAnsi="Cambria"/>
          <w:i/>
          <w:iCs/>
          <w:sz w:val="24"/>
          <w:szCs w:val="24"/>
        </w:rPr>
        <w:t>Acad</w:t>
      </w:r>
      <w:proofErr w:type="spellEnd"/>
      <w:r w:rsidRPr="0054021C">
        <w:rPr>
          <w:rFonts w:ascii="Cambria" w:hAnsi="Cambria"/>
          <w:i/>
          <w:iCs/>
          <w:sz w:val="24"/>
          <w:szCs w:val="24"/>
        </w:rPr>
        <w:t xml:space="preserve"> Sci USA.</w:t>
      </w:r>
      <w:r w:rsidRPr="0054021C">
        <w:rPr>
          <w:rFonts w:ascii="Cambria" w:hAnsi="Cambria"/>
          <w:sz w:val="24"/>
          <w:szCs w:val="24"/>
        </w:rPr>
        <w:t xml:space="preserve"> (2007) 104:1319–24. </w:t>
      </w:r>
      <w:proofErr w:type="spellStart"/>
      <w:r w:rsidRPr="0054021C">
        <w:rPr>
          <w:rFonts w:ascii="Cambria" w:hAnsi="Cambria"/>
          <w:sz w:val="24"/>
          <w:szCs w:val="24"/>
        </w:rPr>
        <w:t>doi</w:t>
      </w:r>
      <w:proofErr w:type="spellEnd"/>
      <w:r w:rsidRPr="0054021C">
        <w:rPr>
          <w:rFonts w:ascii="Cambria" w:hAnsi="Cambria"/>
          <w:sz w:val="24"/>
          <w:szCs w:val="24"/>
        </w:rPr>
        <w:t>: 10.1073/pnas.0610362104.</w:t>
      </w:r>
    </w:p>
    <w:p w14:paraId="7A786465"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lastRenderedPageBreak/>
        <w:t>Danese A, Lewis JS. Psychoneuroimmunology of early-life stress: the hidden wounds of childhood trauma? </w:t>
      </w:r>
      <w:r w:rsidRPr="0054021C">
        <w:rPr>
          <w:rFonts w:ascii="Cambria" w:hAnsi="Cambria"/>
          <w:i/>
          <w:iCs/>
          <w:sz w:val="24"/>
          <w:szCs w:val="24"/>
        </w:rPr>
        <w:t>Neuropsychopharmacology.</w:t>
      </w:r>
      <w:r w:rsidRPr="0054021C">
        <w:rPr>
          <w:rFonts w:ascii="Cambria" w:hAnsi="Cambria"/>
          <w:sz w:val="24"/>
          <w:szCs w:val="24"/>
        </w:rPr>
        <w:t xml:space="preserve"> (2017) 42:99–114. </w:t>
      </w:r>
      <w:proofErr w:type="spellStart"/>
      <w:r w:rsidRPr="0054021C">
        <w:rPr>
          <w:rFonts w:ascii="Cambria" w:hAnsi="Cambria"/>
          <w:sz w:val="24"/>
          <w:szCs w:val="24"/>
        </w:rPr>
        <w:t>doi</w:t>
      </w:r>
      <w:proofErr w:type="spellEnd"/>
      <w:r w:rsidRPr="0054021C">
        <w:rPr>
          <w:rFonts w:ascii="Cambria" w:hAnsi="Cambria"/>
          <w:sz w:val="24"/>
          <w:szCs w:val="24"/>
        </w:rPr>
        <w:t>: 10.1038/npp.2016.198.</w:t>
      </w:r>
    </w:p>
    <w:p w14:paraId="77B073BF"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Davies KA, Silman AJ, Macfarlane GJ, Nicholl BI, Dickens C, Morriss R, Ray D, McBeth J. The association between neighbourhood socio-economic status and the onset of chronic widespread pain: results from the EPIFUND study. </w:t>
      </w:r>
      <w:proofErr w:type="spellStart"/>
      <w:r w:rsidRPr="0054021C">
        <w:rPr>
          <w:rFonts w:ascii="Cambria" w:hAnsi="Cambria"/>
          <w:i/>
          <w:iCs/>
          <w:sz w:val="24"/>
          <w:szCs w:val="24"/>
        </w:rPr>
        <w:t>Eur</w:t>
      </w:r>
      <w:proofErr w:type="spellEnd"/>
      <w:r w:rsidRPr="0054021C">
        <w:rPr>
          <w:rFonts w:ascii="Cambria" w:hAnsi="Cambria"/>
          <w:i/>
          <w:iCs/>
          <w:sz w:val="24"/>
          <w:szCs w:val="24"/>
        </w:rPr>
        <w:t xml:space="preserve"> J Pain</w:t>
      </w:r>
      <w:r w:rsidRPr="0054021C">
        <w:rPr>
          <w:rFonts w:ascii="Cambria" w:hAnsi="Cambria"/>
          <w:sz w:val="24"/>
          <w:szCs w:val="24"/>
        </w:rPr>
        <w:t xml:space="preserve">. 2009 Jul;13(6):635-40. </w:t>
      </w:r>
      <w:proofErr w:type="spellStart"/>
      <w:r w:rsidRPr="0054021C">
        <w:rPr>
          <w:rFonts w:ascii="Cambria" w:hAnsi="Cambria"/>
          <w:sz w:val="24"/>
          <w:szCs w:val="24"/>
        </w:rPr>
        <w:t>doi</w:t>
      </w:r>
      <w:proofErr w:type="spellEnd"/>
      <w:r w:rsidRPr="0054021C">
        <w:rPr>
          <w:rFonts w:ascii="Cambria" w:hAnsi="Cambria"/>
          <w:sz w:val="24"/>
          <w:szCs w:val="24"/>
        </w:rPr>
        <w:t>: 10.1016/j.ejpain.2008.07.003. </w:t>
      </w:r>
    </w:p>
    <w:p w14:paraId="475551E9" w14:textId="77777777" w:rsidR="0054021C" w:rsidRDefault="0054021C" w:rsidP="002B0F75">
      <w:pPr>
        <w:spacing w:line="360" w:lineRule="auto"/>
        <w:rPr>
          <w:rFonts w:ascii="Cambria" w:hAnsi="Cambria"/>
          <w:sz w:val="24"/>
          <w:szCs w:val="24"/>
        </w:rPr>
      </w:pPr>
      <w:r w:rsidRPr="0054021C">
        <w:rPr>
          <w:rFonts w:ascii="Cambria" w:hAnsi="Cambria"/>
          <w:sz w:val="24"/>
          <w:szCs w:val="24"/>
        </w:rPr>
        <w:t xml:space="preserve">Dueñas M, Ojeda B, Salazar A, Mico JA, Failde I. A review of chronic pain impact on patients, their social environment and the health care system. </w:t>
      </w:r>
      <w:r w:rsidRPr="0054021C">
        <w:rPr>
          <w:rFonts w:ascii="Cambria" w:hAnsi="Cambria"/>
          <w:i/>
          <w:iCs/>
          <w:sz w:val="24"/>
          <w:szCs w:val="24"/>
        </w:rPr>
        <w:t>J Pain Res.</w:t>
      </w:r>
      <w:r w:rsidRPr="0054021C">
        <w:rPr>
          <w:rFonts w:ascii="Cambria" w:hAnsi="Cambria"/>
          <w:sz w:val="24"/>
          <w:szCs w:val="24"/>
        </w:rPr>
        <w:t xml:space="preserve"> 2016 Jun </w:t>
      </w:r>
      <w:proofErr w:type="gramStart"/>
      <w:r w:rsidRPr="0054021C">
        <w:rPr>
          <w:rFonts w:ascii="Cambria" w:hAnsi="Cambria"/>
          <w:sz w:val="24"/>
          <w:szCs w:val="24"/>
        </w:rPr>
        <w:t>28;9:457</w:t>
      </w:r>
      <w:proofErr w:type="gramEnd"/>
      <w:r w:rsidRPr="0054021C">
        <w:rPr>
          <w:rFonts w:ascii="Cambria" w:hAnsi="Cambria"/>
          <w:sz w:val="24"/>
          <w:szCs w:val="24"/>
        </w:rPr>
        <w:t>-67. </w:t>
      </w:r>
    </w:p>
    <w:p w14:paraId="7D0E7D5C" w14:textId="269014FE" w:rsidR="00906B07" w:rsidRPr="00906B07" w:rsidRDefault="00906B07" w:rsidP="00906B07">
      <w:pPr>
        <w:spacing w:line="360" w:lineRule="auto"/>
        <w:rPr>
          <w:rFonts w:ascii="Cambria" w:hAnsi="Cambria"/>
          <w:sz w:val="24"/>
          <w:szCs w:val="24"/>
          <w:lang w:val="en-US"/>
        </w:rPr>
      </w:pPr>
      <w:r w:rsidRPr="1441A89E">
        <w:rPr>
          <w:rFonts w:ascii="Cambria" w:hAnsi="Cambria"/>
          <w:sz w:val="24"/>
          <w:szCs w:val="24"/>
          <w:lang w:val="en-US"/>
        </w:rPr>
        <w:t xml:space="preserve">Enlow MB, Blood E, Egeland B. </w:t>
      </w:r>
      <w:r w:rsidR="2C40CD1C" w:rsidRPr="1441A89E">
        <w:rPr>
          <w:rFonts w:ascii="Cambria" w:hAnsi="Cambria"/>
          <w:sz w:val="24"/>
          <w:szCs w:val="24"/>
          <w:lang w:val="en-US"/>
        </w:rPr>
        <w:t>Socio-demographic</w:t>
      </w:r>
      <w:r w:rsidRPr="1441A89E">
        <w:rPr>
          <w:rFonts w:ascii="Cambria" w:hAnsi="Cambria"/>
          <w:sz w:val="24"/>
          <w:szCs w:val="24"/>
          <w:lang w:val="en-US"/>
        </w:rPr>
        <w:t xml:space="preserve"> risk, developmental competence, and PTSD symptoms in young children exposed to interpersonal trauma in early life. </w:t>
      </w:r>
      <w:r w:rsidRPr="1441A89E">
        <w:rPr>
          <w:rFonts w:ascii="Cambria" w:hAnsi="Cambria"/>
          <w:i/>
          <w:iCs/>
          <w:sz w:val="24"/>
          <w:szCs w:val="24"/>
          <w:lang w:val="en-US"/>
        </w:rPr>
        <w:t>J Trauma Stress</w:t>
      </w:r>
      <w:r w:rsidRPr="1441A89E">
        <w:rPr>
          <w:rFonts w:ascii="Cambria" w:hAnsi="Cambria"/>
          <w:sz w:val="24"/>
          <w:szCs w:val="24"/>
          <w:lang w:val="en-US"/>
        </w:rPr>
        <w:t xml:space="preserve">. 2013 Dec;26(6):686-94. </w:t>
      </w:r>
    </w:p>
    <w:p w14:paraId="4625B47C" w14:textId="5FF71CD5" w:rsidR="00906B07" w:rsidRPr="0054021C" w:rsidRDefault="00906B07" w:rsidP="00906B07">
      <w:pPr>
        <w:spacing w:line="360" w:lineRule="auto"/>
        <w:rPr>
          <w:rFonts w:ascii="Cambria" w:hAnsi="Cambria"/>
          <w:sz w:val="24"/>
          <w:szCs w:val="24"/>
        </w:rPr>
      </w:pPr>
      <w:r w:rsidRPr="00906B07">
        <w:rPr>
          <w:rFonts w:ascii="Cambria" w:hAnsi="Cambria"/>
          <w:sz w:val="24"/>
          <w:szCs w:val="24"/>
          <w:lang w:val="en-US"/>
        </w:rPr>
        <w:t xml:space="preserve">Folayan, M.O., Zuñiga, R.A.A., </w:t>
      </w:r>
      <w:proofErr w:type="spellStart"/>
      <w:r w:rsidRPr="00906B07">
        <w:rPr>
          <w:rFonts w:ascii="Cambria" w:hAnsi="Cambria"/>
          <w:sz w:val="24"/>
          <w:szCs w:val="24"/>
          <w:lang w:val="en-US"/>
        </w:rPr>
        <w:t>Ellakany</w:t>
      </w:r>
      <w:proofErr w:type="spellEnd"/>
      <w:r w:rsidRPr="00906B07">
        <w:rPr>
          <w:rFonts w:ascii="Cambria" w:hAnsi="Cambria"/>
          <w:sz w:val="24"/>
          <w:szCs w:val="24"/>
          <w:lang w:val="en-US"/>
        </w:rPr>
        <w:t xml:space="preserve">, P. et al. Socio-economic factors associated with post-traumatic stress symptoms among adolescents and young people during the first wave of the COVID-19 pandemic. </w:t>
      </w:r>
      <w:r w:rsidRPr="00906B07">
        <w:rPr>
          <w:rFonts w:ascii="Cambria" w:hAnsi="Cambria"/>
          <w:i/>
          <w:iCs/>
          <w:sz w:val="24"/>
          <w:szCs w:val="24"/>
          <w:lang w:val="en-US"/>
        </w:rPr>
        <w:t>Sci Rep</w:t>
      </w:r>
      <w:r>
        <w:rPr>
          <w:rFonts w:ascii="Cambria" w:hAnsi="Cambria"/>
          <w:sz w:val="24"/>
          <w:szCs w:val="24"/>
          <w:lang w:val="en-US"/>
        </w:rPr>
        <w:t xml:space="preserve">. (2024) </w:t>
      </w:r>
      <w:r w:rsidRPr="00906B07">
        <w:rPr>
          <w:rFonts w:ascii="Cambria" w:hAnsi="Cambria"/>
          <w:sz w:val="24"/>
          <w:szCs w:val="24"/>
          <w:lang w:val="en-US"/>
        </w:rPr>
        <w:t>14</w:t>
      </w:r>
      <w:r>
        <w:rPr>
          <w:rFonts w:ascii="Cambria" w:hAnsi="Cambria"/>
          <w:sz w:val="24"/>
          <w:szCs w:val="24"/>
          <w:lang w:val="en-US"/>
        </w:rPr>
        <w:t>:</w:t>
      </w:r>
      <w:r w:rsidRPr="00906B07">
        <w:rPr>
          <w:rFonts w:ascii="Cambria" w:hAnsi="Cambria"/>
          <w:sz w:val="24"/>
          <w:szCs w:val="24"/>
          <w:lang w:val="en-US"/>
        </w:rPr>
        <w:t>2276.</w:t>
      </w:r>
    </w:p>
    <w:p w14:paraId="2F34244C"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Fraga S, Marques-Vidal P, Vollenweider P, </w:t>
      </w:r>
      <w:proofErr w:type="spellStart"/>
      <w:r w:rsidRPr="0054021C">
        <w:rPr>
          <w:rFonts w:ascii="Cambria" w:hAnsi="Cambria"/>
          <w:sz w:val="24"/>
          <w:szCs w:val="24"/>
        </w:rPr>
        <w:t>Waeber</w:t>
      </w:r>
      <w:proofErr w:type="spellEnd"/>
      <w:r w:rsidRPr="0054021C">
        <w:rPr>
          <w:rFonts w:ascii="Cambria" w:hAnsi="Cambria"/>
          <w:sz w:val="24"/>
          <w:szCs w:val="24"/>
        </w:rPr>
        <w:t xml:space="preserve"> G, Guessous I, </w:t>
      </w:r>
      <w:proofErr w:type="spellStart"/>
      <w:r w:rsidRPr="0054021C">
        <w:rPr>
          <w:rFonts w:ascii="Cambria" w:hAnsi="Cambria"/>
          <w:sz w:val="24"/>
          <w:szCs w:val="24"/>
        </w:rPr>
        <w:t>Paccaud</w:t>
      </w:r>
      <w:proofErr w:type="spellEnd"/>
      <w:r w:rsidRPr="0054021C">
        <w:rPr>
          <w:rFonts w:ascii="Cambria" w:hAnsi="Cambria"/>
          <w:sz w:val="24"/>
          <w:szCs w:val="24"/>
        </w:rPr>
        <w:t xml:space="preserve"> F, Barros H, </w:t>
      </w:r>
      <w:proofErr w:type="spellStart"/>
      <w:r w:rsidRPr="0054021C">
        <w:rPr>
          <w:rFonts w:ascii="Cambria" w:hAnsi="Cambria"/>
          <w:sz w:val="24"/>
          <w:szCs w:val="24"/>
        </w:rPr>
        <w:t>Stringhini</w:t>
      </w:r>
      <w:proofErr w:type="spellEnd"/>
      <w:r w:rsidRPr="0054021C">
        <w:rPr>
          <w:rFonts w:ascii="Cambria" w:hAnsi="Cambria"/>
          <w:sz w:val="24"/>
          <w:szCs w:val="24"/>
        </w:rPr>
        <w:t xml:space="preserve"> S. Association of socioeconomic status with inflammatory markers: a </w:t>
      </w:r>
      <w:proofErr w:type="gramStart"/>
      <w:r w:rsidRPr="0054021C">
        <w:rPr>
          <w:rFonts w:ascii="Cambria" w:hAnsi="Cambria"/>
          <w:sz w:val="24"/>
          <w:szCs w:val="24"/>
        </w:rPr>
        <w:t>two cohort</w:t>
      </w:r>
      <w:proofErr w:type="gramEnd"/>
      <w:r w:rsidRPr="0054021C">
        <w:rPr>
          <w:rFonts w:ascii="Cambria" w:hAnsi="Cambria"/>
          <w:sz w:val="24"/>
          <w:szCs w:val="24"/>
        </w:rPr>
        <w:t xml:space="preserve"> comparison. </w:t>
      </w:r>
      <w:r w:rsidRPr="0054021C">
        <w:rPr>
          <w:rFonts w:ascii="Cambria" w:hAnsi="Cambria"/>
          <w:i/>
          <w:iCs/>
          <w:sz w:val="24"/>
          <w:szCs w:val="24"/>
        </w:rPr>
        <w:t>Prev Med. </w:t>
      </w:r>
      <w:proofErr w:type="gramStart"/>
      <w:r w:rsidRPr="0054021C">
        <w:rPr>
          <w:rFonts w:ascii="Cambria" w:hAnsi="Cambria"/>
          <w:sz w:val="24"/>
          <w:szCs w:val="24"/>
        </w:rPr>
        <w:t>2015;71:12</w:t>
      </w:r>
      <w:proofErr w:type="gramEnd"/>
      <w:r w:rsidRPr="0054021C">
        <w:rPr>
          <w:rFonts w:ascii="Cambria" w:hAnsi="Cambria"/>
          <w:sz w:val="24"/>
          <w:szCs w:val="24"/>
        </w:rPr>
        <w:t>–19.</w:t>
      </w:r>
    </w:p>
    <w:p w14:paraId="7E614A7A" w14:textId="77777777" w:rsidR="0054021C" w:rsidRPr="0054021C" w:rsidRDefault="0054021C" w:rsidP="002B0F75">
      <w:pPr>
        <w:spacing w:line="360" w:lineRule="auto"/>
        <w:rPr>
          <w:rFonts w:ascii="Cambria" w:hAnsi="Cambria"/>
          <w:sz w:val="24"/>
          <w:szCs w:val="24"/>
        </w:rPr>
      </w:pPr>
      <w:proofErr w:type="spellStart"/>
      <w:r w:rsidRPr="0054021C">
        <w:rPr>
          <w:rFonts w:ascii="Cambria" w:hAnsi="Cambria"/>
          <w:sz w:val="24"/>
          <w:szCs w:val="24"/>
        </w:rPr>
        <w:t>Generaal</w:t>
      </w:r>
      <w:proofErr w:type="spellEnd"/>
      <w:r w:rsidRPr="0054021C">
        <w:rPr>
          <w:rFonts w:ascii="Cambria" w:hAnsi="Cambria"/>
          <w:sz w:val="24"/>
          <w:szCs w:val="24"/>
        </w:rPr>
        <w:t xml:space="preserve"> E, </w:t>
      </w:r>
      <w:proofErr w:type="spellStart"/>
      <w:r w:rsidRPr="0054021C">
        <w:rPr>
          <w:rFonts w:ascii="Cambria" w:hAnsi="Cambria"/>
          <w:sz w:val="24"/>
          <w:szCs w:val="24"/>
        </w:rPr>
        <w:t>Vogelzangs</w:t>
      </w:r>
      <w:proofErr w:type="spellEnd"/>
      <w:r w:rsidRPr="0054021C">
        <w:rPr>
          <w:rFonts w:ascii="Cambria" w:hAnsi="Cambria"/>
          <w:sz w:val="24"/>
          <w:szCs w:val="24"/>
        </w:rPr>
        <w:t xml:space="preserve"> N, Macfarlane GJ, Geenen R, Smit JH, </w:t>
      </w:r>
      <w:proofErr w:type="spellStart"/>
      <w:r w:rsidRPr="0054021C">
        <w:rPr>
          <w:rFonts w:ascii="Cambria" w:hAnsi="Cambria"/>
          <w:sz w:val="24"/>
          <w:szCs w:val="24"/>
        </w:rPr>
        <w:t>Penninx</w:t>
      </w:r>
      <w:proofErr w:type="spellEnd"/>
      <w:r w:rsidRPr="0054021C">
        <w:rPr>
          <w:rFonts w:ascii="Cambria" w:hAnsi="Cambria"/>
          <w:sz w:val="24"/>
          <w:szCs w:val="24"/>
        </w:rPr>
        <w:t xml:space="preserve"> BW, Dekker J. Reduced hypothalamic-pituitary-adrenal axis activity in chronic multi-site musculoskeletal pain: partly masked by depressive and anxiety disorders. </w:t>
      </w:r>
      <w:r w:rsidRPr="0054021C">
        <w:rPr>
          <w:rFonts w:ascii="Cambria" w:hAnsi="Cambria"/>
          <w:i/>
          <w:iCs/>
          <w:sz w:val="24"/>
          <w:szCs w:val="24"/>
        </w:rPr>
        <w:t xml:space="preserve">BMC </w:t>
      </w:r>
      <w:proofErr w:type="spellStart"/>
      <w:r w:rsidRPr="0054021C">
        <w:rPr>
          <w:rFonts w:ascii="Cambria" w:hAnsi="Cambria"/>
          <w:i/>
          <w:iCs/>
          <w:sz w:val="24"/>
          <w:szCs w:val="24"/>
        </w:rPr>
        <w:t>Musculoskelet</w:t>
      </w:r>
      <w:proofErr w:type="spellEnd"/>
      <w:r w:rsidRPr="0054021C">
        <w:rPr>
          <w:rFonts w:ascii="Cambria" w:hAnsi="Cambria"/>
          <w:i/>
          <w:iCs/>
          <w:sz w:val="24"/>
          <w:szCs w:val="24"/>
        </w:rPr>
        <w:t xml:space="preserve"> </w:t>
      </w:r>
      <w:proofErr w:type="spellStart"/>
      <w:r w:rsidRPr="0054021C">
        <w:rPr>
          <w:rFonts w:ascii="Cambria" w:hAnsi="Cambria"/>
          <w:i/>
          <w:iCs/>
          <w:sz w:val="24"/>
          <w:szCs w:val="24"/>
        </w:rPr>
        <w:t>Disord</w:t>
      </w:r>
      <w:proofErr w:type="spellEnd"/>
      <w:r w:rsidRPr="0054021C">
        <w:rPr>
          <w:rFonts w:ascii="Cambria" w:hAnsi="Cambria"/>
          <w:sz w:val="24"/>
          <w:szCs w:val="24"/>
        </w:rPr>
        <w:t xml:space="preserve">. 2014 Jul </w:t>
      </w:r>
      <w:proofErr w:type="gramStart"/>
      <w:r w:rsidRPr="0054021C">
        <w:rPr>
          <w:rFonts w:ascii="Cambria" w:hAnsi="Cambria"/>
          <w:sz w:val="24"/>
          <w:szCs w:val="24"/>
        </w:rPr>
        <w:t>9;15:227</w:t>
      </w:r>
      <w:proofErr w:type="gramEnd"/>
      <w:r w:rsidRPr="0054021C">
        <w:rPr>
          <w:rFonts w:ascii="Cambria" w:hAnsi="Cambria"/>
          <w:sz w:val="24"/>
          <w:szCs w:val="24"/>
        </w:rPr>
        <w:t>. </w:t>
      </w:r>
    </w:p>
    <w:p w14:paraId="75732679"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Goldsmith D.R., Rapaport M.H., Miller B.J. A meta-analysis of blood cytokine network alterations in psychiatric patients: comparisons between schizophrenia, bipolar disorder and depression. </w:t>
      </w:r>
      <w:r w:rsidRPr="0054021C">
        <w:rPr>
          <w:rFonts w:ascii="Cambria" w:hAnsi="Cambria"/>
          <w:i/>
          <w:iCs/>
          <w:sz w:val="24"/>
          <w:szCs w:val="24"/>
        </w:rPr>
        <w:t xml:space="preserve">Mol. </w:t>
      </w:r>
      <w:proofErr w:type="spellStart"/>
      <w:r w:rsidRPr="0054021C">
        <w:rPr>
          <w:rFonts w:ascii="Cambria" w:hAnsi="Cambria"/>
          <w:i/>
          <w:iCs/>
          <w:sz w:val="24"/>
          <w:szCs w:val="24"/>
        </w:rPr>
        <w:t>Psychiatr</w:t>
      </w:r>
      <w:proofErr w:type="spellEnd"/>
      <w:r w:rsidRPr="0054021C">
        <w:rPr>
          <w:rFonts w:ascii="Cambria" w:hAnsi="Cambria"/>
          <w:i/>
          <w:iCs/>
          <w:sz w:val="24"/>
          <w:szCs w:val="24"/>
        </w:rPr>
        <w:t>. </w:t>
      </w:r>
      <w:proofErr w:type="gramStart"/>
      <w:r w:rsidRPr="0054021C">
        <w:rPr>
          <w:rFonts w:ascii="Cambria" w:hAnsi="Cambria"/>
          <w:sz w:val="24"/>
          <w:szCs w:val="24"/>
        </w:rPr>
        <w:t>2016;21:1696</w:t>
      </w:r>
      <w:proofErr w:type="gramEnd"/>
      <w:r w:rsidRPr="0054021C">
        <w:rPr>
          <w:rFonts w:ascii="Cambria" w:hAnsi="Cambria"/>
          <w:sz w:val="24"/>
          <w:szCs w:val="24"/>
        </w:rPr>
        <w:t>–1709. </w:t>
      </w:r>
    </w:p>
    <w:p w14:paraId="5D97EF69"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Hemingway H, Shipley M, Mullen MJ, Kumari M, Brunner E, Taylor M, Donald AE, </w:t>
      </w:r>
      <w:proofErr w:type="spellStart"/>
      <w:r w:rsidRPr="0054021C">
        <w:rPr>
          <w:rFonts w:ascii="Cambria" w:hAnsi="Cambria"/>
          <w:sz w:val="24"/>
          <w:szCs w:val="24"/>
        </w:rPr>
        <w:t>Deanfield</w:t>
      </w:r>
      <w:proofErr w:type="spellEnd"/>
      <w:r w:rsidRPr="0054021C">
        <w:rPr>
          <w:rFonts w:ascii="Cambria" w:hAnsi="Cambria"/>
          <w:sz w:val="24"/>
          <w:szCs w:val="24"/>
        </w:rPr>
        <w:t xml:space="preserve"> JE, Marmot M. Social and psychosocial influences on inflammatory markers and vascular function in civil servants (the Whitehall II Study) </w:t>
      </w:r>
      <w:r w:rsidRPr="0054021C">
        <w:rPr>
          <w:rFonts w:ascii="Cambria" w:hAnsi="Cambria"/>
          <w:i/>
          <w:iCs/>
          <w:sz w:val="24"/>
          <w:szCs w:val="24"/>
        </w:rPr>
        <w:t xml:space="preserve">Am J </w:t>
      </w:r>
      <w:proofErr w:type="spellStart"/>
      <w:r w:rsidRPr="0054021C">
        <w:rPr>
          <w:rFonts w:ascii="Cambria" w:hAnsi="Cambria"/>
          <w:i/>
          <w:iCs/>
          <w:sz w:val="24"/>
          <w:szCs w:val="24"/>
        </w:rPr>
        <w:t>Cardiol</w:t>
      </w:r>
      <w:proofErr w:type="spellEnd"/>
      <w:r w:rsidRPr="0054021C">
        <w:rPr>
          <w:rFonts w:ascii="Cambria" w:hAnsi="Cambria"/>
          <w:i/>
          <w:iCs/>
          <w:sz w:val="24"/>
          <w:szCs w:val="24"/>
        </w:rPr>
        <w:t>. </w:t>
      </w:r>
      <w:r w:rsidRPr="0054021C">
        <w:rPr>
          <w:rFonts w:ascii="Cambria" w:hAnsi="Cambria"/>
          <w:sz w:val="24"/>
          <w:szCs w:val="24"/>
        </w:rPr>
        <w:t>2003;92(8):984–987.</w:t>
      </w:r>
    </w:p>
    <w:p w14:paraId="28C867F0" w14:textId="77777777" w:rsidR="0054021C" w:rsidRDefault="0054021C" w:rsidP="002B0F75">
      <w:pPr>
        <w:spacing w:line="360" w:lineRule="auto"/>
        <w:rPr>
          <w:rFonts w:ascii="Cambria" w:hAnsi="Cambria"/>
          <w:sz w:val="24"/>
          <w:szCs w:val="24"/>
        </w:rPr>
      </w:pPr>
      <w:r w:rsidRPr="0054021C">
        <w:rPr>
          <w:rFonts w:ascii="Cambria" w:hAnsi="Cambria"/>
          <w:sz w:val="24"/>
          <w:szCs w:val="24"/>
        </w:rPr>
        <w:lastRenderedPageBreak/>
        <w:t xml:space="preserve">Howren M.B., Lamkin D.M., </w:t>
      </w:r>
      <w:proofErr w:type="spellStart"/>
      <w:r w:rsidRPr="0054021C">
        <w:rPr>
          <w:rFonts w:ascii="Cambria" w:hAnsi="Cambria"/>
          <w:sz w:val="24"/>
          <w:szCs w:val="24"/>
        </w:rPr>
        <w:t>Suls</w:t>
      </w:r>
      <w:proofErr w:type="spellEnd"/>
      <w:r w:rsidRPr="0054021C">
        <w:rPr>
          <w:rFonts w:ascii="Cambria" w:hAnsi="Cambria"/>
          <w:sz w:val="24"/>
          <w:szCs w:val="24"/>
        </w:rPr>
        <w:t xml:space="preserve"> J. Associations of depression with C-reactive protein, IL-1, and IL-6: a meta-analysis. </w:t>
      </w:r>
      <w:proofErr w:type="spellStart"/>
      <w:r w:rsidRPr="0054021C">
        <w:rPr>
          <w:rFonts w:ascii="Cambria" w:hAnsi="Cambria"/>
          <w:i/>
          <w:iCs/>
          <w:sz w:val="24"/>
          <w:szCs w:val="24"/>
        </w:rPr>
        <w:t>Psychosom</w:t>
      </w:r>
      <w:proofErr w:type="spellEnd"/>
      <w:r w:rsidRPr="0054021C">
        <w:rPr>
          <w:rFonts w:ascii="Cambria" w:hAnsi="Cambria"/>
          <w:i/>
          <w:iCs/>
          <w:sz w:val="24"/>
          <w:szCs w:val="24"/>
        </w:rPr>
        <w:t>. Med. </w:t>
      </w:r>
      <w:proofErr w:type="gramStart"/>
      <w:r w:rsidRPr="0054021C">
        <w:rPr>
          <w:rFonts w:ascii="Cambria" w:hAnsi="Cambria"/>
          <w:sz w:val="24"/>
          <w:szCs w:val="24"/>
        </w:rPr>
        <w:t>2009;71:171</w:t>
      </w:r>
      <w:proofErr w:type="gramEnd"/>
      <w:r w:rsidRPr="0054021C">
        <w:rPr>
          <w:rFonts w:ascii="Cambria" w:hAnsi="Cambria"/>
          <w:sz w:val="24"/>
          <w:szCs w:val="24"/>
        </w:rPr>
        <w:t>–186.</w:t>
      </w:r>
    </w:p>
    <w:p w14:paraId="0AB73D17" w14:textId="56C435F5" w:rsidR="00906B07" w:rsidRPr="004447E8" w:rsidRDefault="00906B07" w:rsidP="002B0F75">
      <w:pPr>
        <w:spacing w:line="360" w:lineRule="auto"/>
        <w:rPr>
          <w:rFonts w:ascii="Cambria" w:hAnsi="Cambria"/>
          <w:sz w:val="24"/>
          <w:szCs w:val="24"/>
          <w:lang w:val="en-US"/>
        </w:rPr>
      </w:pPr>
      <w:r w:rsidRPr="00906B07">
        <w:rPr>
          <w:rFonts w:ascii="Cambria" w:hAnsi="Cambria"/>
          <w:sz w:val="24"/>
          <w:szCs w:val="24"/>
          <w:lang w:val="en-US"/>
        </w:rPr>
        <w:t xml:space="preserve">John Rowntree Foundation (JRF). UK Poverty 2024 [report]. </w:t>
      </w:r>
      <w:hyperlink r:id="rId135" w:anchor=":~:text=More%20than%201%20in%205,around%201%20in%206)%20pensioners" w:history="1">
        <w:r w:rsidRPr="00906B07">
          <w:rPr>
            <w:rStyle w:val="Hyperlink"/>
            <w:rFonts w:ascii="Cambria" w:hAnsi="Cambria"/>
            <w:sz w:val="24"/>
            <w:szCs w:val="24"/>
            <w:lang w:val="en-US"/>
          </w:rPr>
          <w:t>https://www.jrf.org.uk/uk-poverty-2024-the-essential-guide-to-understanding-poverty-in-the-uk#:~:text=More%20than%201%20in%205,around%201%20in%206)%20pensioners</w:t>
        </w:r>
      </w:hyperlink>
      <w:r w:rsidRPr="00906B07">
        <w:rPr>
          <w:rFonts w:ascii="Cambria" w:hAnsi="Cambria"/>
          <w:sz w:val="24"/>
          <w:szCs w:val="24"/>
          <w:lang w:val="en-US"/>
        </w:rPr>
        <w:t>. Accessed 12 October 2024.</w:t>
      </w:r>
    </w:p>
    <w:p w14:paraId="2B481F08" w14:textId="77777777" w:rsidR="0054021C" w:rsidRPr="0054021C" w:rsidRDefault="0054021C" w:rsidP="002B0F75">
      <w:pPr>
        <w:spacing w:line="360" w:lineRule="auto"/>
        <w:rPr>
          <w:rFonts w:ascii="Cambria" w:hAnsi="Cambria"/>
          <w:sz w:val="24"/>
          <w:szCs w:val="24"/>
        </w:rPr>
      </w:pPr>
      <w:proofErr w:type="spellStart"/>
      <w:r w:rsidRPr="0054021C">
        <w:rPr>
          <w:rFonts w:ascii="Cambria" w:hAnsi="Cambria"/>
          <w:sz w:val="24"/>
          <w:szCs w:val="24"/>
        </w:rPr>
        <w:t>Jousilahti</w:t>
      </w:r>
      <w:proofErr w:type="spellEnd"/>
      <w:r w:rsidRPr="0054021C">
        <w:rPr>
          <w:rFonts w:ascii="Cambria" w:hAnsi="Cambria"/>
          <w:sz w:val="24"/>
          <w:szCs w:val="24"/>
        </w:rPr>
        <w:t xml:space="preserve"> P, Salomaa V, Rasi V, </w:t>
      </w:r>
      <w:proofErr w:type="spellStart"/>
      <w:r w:rsidRPr="0054021C">
        <w:rPr>
          <w:rFonts w:ascii="Cambria" w:hAnsi="Cambria"/>
          <w:sz w:val="24"/>
          <w:szCs w:val="24"/>
        </w:rPr>
        <w:t>Vahtera</w:t>
      </w:r>
      <w:proofErr w:type="spellEnd"/>
      <w:r w:rsidRPr="0054021C">
        <w:rPr>
          <w:rFonts w:ascii="Cambria" w:hAnsi="Cambria"/>
          <w:sz w:val="24"/>
          <w:szCs w:val="24"/>
        </w:rPr>
        <w:t xml:space="preserve"> E, </w:t>
      </w:r>
      <w:proofErr w:type="spellStart"/>
      <w:r w:rsidRPr="0054021C">
        <w:rPr>
          <w:rFonts w:ascii="Cambria" w:hAnsi="Cambria"/>
          <w:sz w:val="24"/>
          <w:szCs w:val="24"/>
        </w:rPr>
        <w:t>Palosuo</w:t>
      </w:r>
      <w:proofErr w:type="spellEnd"/>
      <w:r w:rsidRPr="0054021C">
        <w:rPr>
          <w:rFonts w:ascii="Cambria" w:hAnsi="Cambria"/>
          <w:sz w:val="24"/>
          <w:szCs w:val="24"/>
        </w:rPr>
        <w:t xml:space="preserve"> T. Association of markers of systemic inflammation, C reactive protein, serum amyloid A, and fibrinogen, with socioeconomic status. </w:t>
      </w:r>
      <w:r w:rsidRPr="0054021C">
        <w:rPr>
          <w:rFonts w:ascii="Cambria" w:hAnsi="Cambria"/>
          <w:i/>
          <w:iCs/>
          <w:sz w:val="24"/>
          <w:szCs w:val="24"/>
        </w:rPr>
        <w:t xml:space="preserve">J </w:t>
      </w:r>
      <w:proofErr w:type="spellStart"/>
      <w:r w:rsidRPr="0054021C">
        <w:rPr>
          <w:rFonts w:ascii="Cambria" w:hAnsi="Cambria"/>
          <w:i/>
          <w:iCs/>
          <w:sz w:val="24"/>
          <w:szCs w:val="24"/>
        </w:rPr>
        <w:t>Epidemiol</w:t>
      </w:r>
      <w:proofErr w:type="spellEnd"/>
      <w:r w:rsidRPr="0054021C">
        <w:rPr>
          <w:rFonts w:ascii="Cambria" w:hAnsi="Cambria"/>
          <w:i/>
          <w:iCs/>
          <w:sz w:val="24"/>
          <w:szCs w:val="24"/>
        </w:rPr>
        <w:t xml:space="preserve"> Community Health.</w:t>
      </w:r>
      <w:r w:rsidRPr="0054021C">
        <w:rPr>
          <w:rFonts w:ascii="Cambria" w:hAnsi="Cambria"/>
          <w:sz w:val="24"/>
          <w:szCs w:val="24"/>
        </w:rPr>
        <w:t xml:space="preserve"> 2003;57(9):730–733.</w:t>
      </w:r>
    </w:p>
    <w:p w14:paraId="08DB3C45"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Kelly-Irving M, Mabile L, Grosclaude P, Lang T, </w:t>
      </w:r>
      <w:proofErr w:type="spellStart"/>
      <w:r w:rsidRPr="0054021C">
        <w:rPr>
          <w:rFonts w:ascii="Cambria" w:hAnsi="Cambria"/>
          <w:sz w:val="24"/>
          <w:szCs w:val="24"/>
        </w:rPr>
        <w:t>Delpierre</w:t>
      </w:r>
      <w:proofErr w:type="spellEnd"/>
      <w:r w:rsidRPr="0054021C">
        <w:rPr>
          <w:rFonts w:ascii="Cambria" w:hAnsi="Cambria"/>
          <w:sz w:val="24"/>
          <w:szCs w:val="24"/>
        </w:rPr>
        <w:t xml:space="preserve"> C. The embodiment of adverse childhood experiences and cancer development: potential biological mechanisms and pathways across the life course. </w:t>
      </w:r>
      <w:r w:rsidRPr="0054021C">
        <w:rPr>
          <w:rFonts w:ascii="Cambria" w:hAnsi="Cambria"/>
          <w:i/>
          <w:iCs/>
          <w:sz w:val="24"/>
          <w:szCs w:val="24"/>
        </w:rPr>
        <w:t>Int J Public Health. </w:t>
      </w:r>
      <w:r w:rsidRPr="0054021C">
        <w:rPr>
          <w:rFonts w:ascii="Cambria" w:hAnsi="Cambria"/>
          <w:sz w:val="24"/>
          <w:szCs w:val="24"/>
        </w:rPr>
        <w:t>2013;58(1):3–11.</w:t>
      </w:r>
    </w:p>
    <w:p w14:paraId="5DA3C5AF"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Kennedy E, Niedzwiedz CL. The association of anxiety and stress-related disorders with C-reactive protein (CRP) within UK Biobank. </w:t>
      </w:r>
      <w:r w:rsidRPr="0054021C">
        <w:rPr>
          <w:rFonts w:ascii="Cambria" w:hAnsi="Cambria"/>
          <w:i/>
          <w:iCs/>
          <w:sz w:val="24"/>
          <w:szCs w:val="24"/>
        </w:rPr>
        <w:t xml:space="preserve">Brain </w:t>
      </w:r>
      <w:proofErr w:type="spellStart"/>
      <w:r w:rsidRPr="0054021C">
        <w:rPr>
          <w:rFonts w:ascii="Cambria" w:hAnsi="Cambria"/>
          <w:i/>
          <w:iCs/>
          <w:sz w:val="24"/>
          <w:szCs w:val="24"/>
        </w:rPr>
        <w:t>Behav</w:t>
      </w:r>
      <w:proofErr w:type="spellEnd"/>
      <w:r w:rsidRPr="0054021C">
        <w:rPr>
          <w:rFonts w:ascii="Cambria" w:hAnsi="Cambria"/>
          <w:i/>
          <w:iCs/>
          <w:sz w:val="24"/>
          <w:szCs w:val="24"/>
        </w:rPr>
        <w:t xml:space="preserve"> </w:t>
      </w:r>
      <w:proofErr w:type="spellStart"/>
      <w:r w:rsidRPr="0054021C">
        <w:rPr>
          <w:rFonts w:ascii="Cambria" w:hAnsi="Cambria"/>
          <w:i/>
          <w:iCs/>
          <w:sz w:val="24"/>
          <w:szCs w:val="24"/>
        </w:rPr>
        <w:t>Immun</w:t>
      </w:r>
      <w:proofErr w:type="spellEnd"/>
      <w:r w:rsidRPr="0054021C">
        <w:rPr>
          <w:rFonts w:ascii="Cambria" w:hAnsi="Cambria"/>
          <w:i/>
          <w:iCs/>
          <w:sz w:val="24"/>
          <w:szCs w:val="24"/>
        </w:rPr>
        <w:t xml:space="preserve"> Health</w:t>
      </w:r>
      <w:r w:rsidRPr="0054021C">
        <w:rPr>
          <w:rFonts w:ascii="Cambria" w:hAnsi="Cambria"/>
          <w:sz w:val="24"/>
          <w:szCs w:val="24"/>
        </w:rPr>
        <w:t xml:space="preserve">. 2021 Dec </w:t>
      </w:r>
      <w:proofErr w:type="gramStart"/>
      <w:r w:rsidRPr="0054021C">
        <w:rPr>
          <w:rFonts w:ascii="Cambria" w:hAnsi="Cambria"/>
          <w:sz w:val="24"/>
          <w:szCs w:val="24"/>
        </w:rPr>
        <w:t>27;19:100410</w:t>
      </w:r>
      <w:proofErr w:type="gramEnd"/>
      <w:r w:rsidRPr="0054021C">
        <w:rPr>
          <w:rFonts w:ascii="Cambria" w:hAnsi="Cambria"/>
          <w:sz w:val="24"/>
          <w:szCs w:val="24"/>
        </w:rPr>
        <w:t xml:space="preserve">. </w:t>
      </w:r>
      <w:proofErr w:type="spellStart"/>
      <w:r w:rsidRPr="0054021C">
        <w:rPr>
          <w:rFonts w:ascii="Cambria" w:hAnsi="Cambria"/>
          <w:sz w:val="24"/>
          <w:szCs w:val="24"/>
        </w:rPr>
        <w:t>doi</w:t>
      </w:r>
      <w:proofErr w:type="spellEnd"/>
      <w:r w:rsidRPr="0054021C">
        <w:rPr>
          <w:rFonts w:ascii="Cambria" w:hAnsi="Cambria"/>
          <w:sz w:val="24"/>
          <w:szCs w:val="24"/>
        </w:rPr>
        <w:t>: 10.1016/j.bbih.2021.100410. </w:t>
      </w:r>
    </w:p>
    <w:p w14:paraId="6EE3A144"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King AR. Childhood adversity links to self-reported mood, anxiety, and stress-related disorders. J Affect </w:t>
      </w:r>
      <w:proofErr w:type="spellStart"/>
      <w:r w:rsidRPr="0054021C">
        <w:rPr>
          <w:rFonts w:ascii="Cambria" w:hAnsi="Cambria"/>
          <w:sz w:val="24"/>
          <w:szCs w:val="24"/>
        </w:rPr>
        <w:t>Disord</w:t>
      </w:r>
      <w:proofErr w:type="spellEnd"/>
      <w:r w:rsidRPr="0054021C">
        <w:rPr>
          <w:rFonts w:ascii="Cambria" w:hAnsi="Cambria"/>
          <w:sz w:val="24"/>
          <w:szCs w:val="24"/>
        </w:rPr>
        <w:t xml:space="preserve">. 2021 Sep </w:t>
      </w:r>
      <w:proofErr w:type="gramStart"/>
      <w:r w:rsidRPr="0054021C">
        <w:rPr>
          <w:rFonts w:ascii="Cambria" w:hAnsi="Cambria"/>
          <w:sz w:val="24"/>
          <w:szCs w:val="24"/>
        </w:rPr>
        <w:t>1;292:623</w:t>
      </w:r>
      <w:proofErr w:type="gramEnd"/>
      <w:r w:rsidRPr="0054021C">
        <w:rPr>
          <w:rFonts w:ascii="Cambria" w:hAnsi="Cambria"/>
          <w:sz w:val="24"/>
          <w:szCs w:val="24"/>
        </w:rPr>
        <w:t xml:space="preserve">-632. </w:t>
      </w:r>
      <w:proofErr w:type="spellStart"/>
      <w:r w:rsidRPr="0054021C">
        <w:rPr>
          <w:rFonts w:ascii="Cambria" w:hAnsi="Cambria"/>
          <w:sz w:val="24"/>
          <w:szCs w:val="24"/>
        </w:rPr>
        <w:t>doi</w:t>
      </w:r>
      <w:proofErr w:type="spellEnd"/>
      <w:r w:rsidRPr="0054021C">
        <w:rPr>
          <w:rFonts w:ascii="Cambria" w:hAnsi="Cambria"/>
          <w:sz w:val="24"/>
          <w:szCs w:val="24"/>
        </w:rPr>
        <w:t xml:space="preserve">: 10.1016/j.jad.2021.05.112. </w:t>
      </w:r>
      <w:proofErr w:type="spellStart"/>
      <w:r w:rsidRPr="0054021C">
        <w:rPr>
          <w:rFonts w:ascii="Cambria" w:hAnsi="Cambria"/>
          <w:sz w:val="24"/>
          <w:szCs w:val="24"/>
        </w:rPr>
        <w:t>Epub</w:t>
      </w:r>
      <w:proofErr w:type="spellEnd"/>
      <w:r w:rsidRPr="0054021C">
        <w:rPr>
          <w:rFonts w:ascii="Cambria" w:hAnsi="Cambria"/>
          <w:sz w:val="24"/>
          <w:szCs w:val="24"/>
        </w:rPr>
        <w:t xml:space="preserve"> 2021 Jun 6.</w:t>
      </w:r>
    </w:p>
    <w:p w14:paraId="2DAE8D9D"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Mac </w:t>
      </w:r>
      <w:proofErr w:type="spellStart"/>
      <w:r w:rsidRPr="0054021C">
        <w:rPr>
          <w:rFonts w:ascii="Cambria" w:hAnsi="Cambria"/>
          <w:sz w:val="24"/>
          <w:szCs w:val="24"/>
        </w:rPr>
        <w:t>Giollabhui</w:t>
      </w:r>
      <w:proofErr w:type="spellEnd"/>
      <w:r w:rsidRPr="0054021C">
        <w:rPr>
          <w:rFonts w:ascii="Cambria" w:hAnsi="Cambria"/>
          <w:sz w:val="24"/>
          <w:szCs w:val="24"/>
        </w:rPr>
        <w:t xml:space="preserve"> N., Ng T.H., Ellman L.M., Alloy L.B. The longitudinal associations of inflammatory biomarkers and depression revisited: systematic review, meta-analysis, and meta-regression. </w:t>
      </w:r>
      <w:r w:rsidRPr="0054021C">
        <w:rPr>
          <w:rFonts w:ascii="Cambria" w:hAnsi="Cambria"/>
          <w:i/>
          <w:iCs/>
          <w:sz w:val="24"/>
          <w:szCs w:val="24"/>
        </w:rPr>
        <w:t xml:space="preserve">Mol. </w:t>
      </w:r>
      <w:proofErr w:type="spellStart"/>
      <w:r w:rsidRPr="0054021C">
        <w:rPr>
          <w:rFonts w:ascii="Cambria" w:hAnsi="Cambria"/>
          <w:i/>
          <w:iCs/>
          <w:sz w:val="24"/>
          <w:szCs w:val="24"/>
        </w:rPr>
        <w:t>Psychiatr</w:t>
      </w:r>
      <w:proofErr w:type="spellEnd"/>
      <w:r w:rsidRPr="0054021C">
        <w:rPr>
          <w:rFonts w:ascii="Cambria" w:hAnsi="Cambria"/>
          <w:i/>
          <w:iCs/>
          <w:sz w:val="24"/>
          <w:szCs w:val="24"/>
        </w:rPr>
        <w:t>. </w:t>
      </w:r>
      <w:proofErr w:type="gramStart"/>
      <w:r w:rsidRPr="0054021C">
        <w:rPr>
          <w:rFonts w:ascii="Cambria" w:hAnsi="Cambria"/>
          <w:sz w:val="24"/>
          <w:szCs w:val="24"/>
        </w:rPr>
        <w:t>2021;26:3302</w:t>
      </w:r>
      <w:proofErr w:type="gramEnd"/>
      <w:r w:rsidRPr="0054021C">
        <w:rPr>
          <w:rFonts w:ascii="Cambria" w:hAnsi="Cambria"/>
          <w:sz w:val="24"/>
          <w:szCs w:val="24"/>
        </w:rPr>
        <w:t>–3314. </w:t>
      </w:r>
    </w:p>
    <w:p w14:paraId="1C7B86B2"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Miller GE, Chen E, Fok AK, Walker H, Lim A, Nicholls EF, Cole S, Kobor MS. Low early-life social class leaves a biological residue manifested by decreased glucocorticoid and increased proinflammatory </w:t>
      </w:r>
      <w:proofErr w:type="spellStart"/>
      <w:r w:rsidRPr="0054021C">
        <w:rPr>
          <w:rFonts w:ascii="Cambria" w:hAnsi="Cambria"/>
          <w:sz w:val="24"/>
          <w:szCs w:val="24"/>
        </w:rPr>
        <w:t>signaling</w:t>
      </w:r>
      <w:proofErr w:type="spellEnd"/>
      <w:r w:rsidRPr="0054021C">
        <w:rPr>
          <w:rFonts w:ascii="Cambria" w:hAnsi="Cambria"/>
          <w:sz w:val="24"/>
          <w:szCs w:val="24"/>
        </w:rPr>
        <w:t>. </w:t>
      </w:r>
      <w:r w:rsidRPr="0054021C">
        <w:rPr>
          <w:rFonts w:ascii="Cambria" w:hAnsi="Cambria"/>
          <w:i/>
          <w:iCs/>
          <w:sz w:val="24"/>
          <w:szCs w:val="24"/>
        </w:rPr>
        <w:t xml:space="preserve">Proc Natl </w:t>
      </w:r>
      <w:proofErr w:type="spellStart"/>
      <w:r w:rsidRPr="0054021C">
        <w:rPr>
          <w:rFonts w:ascii="Cambria" w:hAnsi="Cambria"/>
          <w:i/>
          <w:iCs/>
          <w:sz w:val="24"/>
          <w:szCs w:val="24"/>
        </w:rPr>
        <w:t>Acad</w:t>
      </w:r>
      <w:proofErr w:type="spellEnd"/>
      <w:r w:rsidRPr="0054021C">
        <w:rPr>
          <w:rFonts w:ascii="Cambria" w:hAnsi="Cambria"/>
          <w:i/>
          <w:iCs/>
          <w:sz w:val="24"/>
          <w:szCs w:val="24"/>
        </w:rPr>
        <w:t xml:space="preserve"> Sci U S A. </w:t>
      </w:r>
      <w:r w:rsidRPr="0054021C">
        <w:rPr>
          <w:rFonts w:ascii="Cambria" w:hAnsi="Cambria"/>
          <w:sz w:val="24"/>
          <w:szCs w:val="24"/>
        </w:rPr>
        <w:t>2009;106(34):14716–14721.</w:t>
      </w:r>
    </w:p>
    <w:p w14:paraId="49EB1927"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Morris G, Berk M, Maes M, Carvalho AF, Puri BK. Socioeconomic Deprivation, Adverse Childhood Experiences and Medical Disorders in Adulthood: </w:t>
      </w:r>
      <w:r w:rsidRPr="0054021C">
        <w:rPr>
          <w:rFonts w:ascii="Cambria" w:hAnsi="Cambria"/>
          <w:i/>
          <w:iCs/>
          <w:sz w:val="24"/>
          <w:szCs w:val="24"/>
        </w:rPr>
        <w:t>Mechanisms and Associations</w:t>
      </w:r>
      <w:r w:rsidRPr="0054021C">
        <w:rPr>
          <w:rFonts w:ascii="Cambria" w:hAnsi="Cambria"/>
          <w:sz w:val="24"/>
          <w:szCs w:val="24"/>
        </w:rPr>
        <w:t xml:space="preserve">. Mol </w:t>
      </w:r>
      <w:proofErr w:type="spellStart"/>
      <w:r w:rsidRPr="0054021C">
        <w:rPr>
          <w:rFonts w:ascii="Cambria" w:hAnsi="Cambria"/>
          <w:sz w:val="24"/>
          <w:szCs w:val="24"/>
        </w:rPr>
        <w:t>Neurobiol</w:t>
      </w:r>
      <w:proofErr w:type="spellEnd"/>
      <w:r w:rsidRPr="0054021C">
        <w:rPr>
          <w:rFonts w:ascii="Cambria" w:hAnsi="Cambria"/>
          <w:sz w:val="24"/>
          <w:szCs w:val="24"/>
        </w:rPr>
        <w:t>. 2019 Aug;56(8):5866-5890. </w:t>
      </w:r>
    </w:p>
    <w:p w14:paraId="5B30D9BD"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lastRenderedPageBreak/>
        <w:t xml:space="preserve">Nemeroff CB. Paradise Lost: The Neurobiological and Clinical Consequences of Child Abuse and Neglect. </w:t>
      </w:r>
      <w:r w:rsidRPr="0054021C">
        <w:rPr>
          <w:rFonts w:ascii="Cambria" w:hAnsi="Cambria"/>
          <w:i/>
          <w:iCs/>
          <w:sz w:val="24"/>
          <w:szCs w:val="24"/>
        </w:rPr>
        <w:t>Neuron</w:t>
      </w:r>
      <w:r w:rsidRPr="0054021C">
        <w:rPr>
          <w:rFonts w:ascii="Cambria" w:hAnsi="Cambria"/>
          <w:sz w:val="24"/>
          <w:szCs w:val="24"/>
        </w:rPr>
        <w:t>. 2016 Mar 2;89(5):892-909. </w:t>
      </w:r>
    </w:p>
    <w:p w14:paraId="7C1E0910" w14:textId="77777777" w:rsidR="0054021C" w:rsidRPr="0054021C" w:rsidRDefault="0054021C" w:rsidP="002B0F75">
      <w:pPr>
        <w:spacing w:line="360" w:lineRule="auto"/>
        <w:rPr>
          <w:rFonts w:ascii="Cambria" w:hAnsi="Cambria"/>
          <w:sz w:val="24"/>
          <w:szCs w:val="24"/>
        </w:rPr>
      </w:pPr>
      <w:proofErr w:type="spellStart"/>
      <w:r w:rsidRPr="0054021C">
        <w:rPr>
          <w:rFonts w:ascii="Cambria" w:hAnsi="Cambria"/>
          <w:sz w:val="24"/>
          <w:szCs w:val="24"/>
        </w:rPr>
        <w:t>Panagiotakos</w:t>
      </w:r>
      <w:proofErr w:type="spellEnd"/>
      <w:r w:rsidRPr="0054021C">
        <w:rPr>
          <w:rFonts w:ascii="Cambria" w:hAnsi="Cambria"/>
          <w:sz w:val="24"/>
          <w:szCs w:val="24"/>
        </w:rPr>
        <w:t xml:space="preserve"> DB, </w:t>
      </w:r>
      <w:proofErr w:type="spellStart"/>
      <w:r w:rsidRPr="0054021C">
        <w:rPr>
          <w:rFonts w:ascii="Cambria" w:hAnsi="Cambria"/>
          <w:sz w:val="24"/>
          <w:szCs w:val="24"/>
        </w:rPr>
        <w:t>Pitsavos</w:t>
      </w:r>
      <w:proofErr w:type="spellEnd"/>
      <w:r w:rsidRPr="0054021C">
        <w:rPr>
          <w:rFonts w:ascii="Cambria" w:hAnsi="Cambria"/>
          <w:sz w:val="24"/>
          <w:szCs w:val="24"/>
        </w:rPr>
        <w:t xml:space="preserve"> C, </w:t>
      </w:r>
      <w:proofErr w:type="spellStart"/>
      <w:r w:rsidRPr="0054021C">
        <w:rPr>
          <w:rFonts w:ascii="Cambria" w:hAnsi="Cambria"/>
          <w:sz w:val="24"/>
          <w:szCs w:val="24"/>
        </w:rPr>
        <w:t>Manios</w:t>
      </w:r>
      <w:proofErr w:type="spellEnd"/>
      <w:r w:rsidRPr="0054021C">
        <w:rPr>
          <w:rFonts w:ascii="Cambria" w:hAnsi="Cambria"/>
          <w:sz w:val="24"/>
          <w:szCs w:val="24"/>
        </w:rPr>
        <w:t xml:space="preserve"> Y, Polychronopoulos E, </w:t>
      </w:r>
      <w:proofErr w:type="spellStart"/>
      <w:r w:rsidRPr="0054021C">
        <w:rPr>
          <w:rFonts w:ascii="Cambria" w:hAnsi="Cambria"/>
          <w:sz w:val="24"/>
          <w:szCs w:val="24"/>
        </w:rPr>
        <w:t>Chrysohoou</w:t>
      </w:r>
      <w:proofErr w:type="spellEnd"/>
      <w:r w:rsidRPr="0054021C">
        <w:rPr>
          <w:rFonts w:ascii="Cambria" w:hAnsi="Cambria"/>
          <w:sz w:val="24"/>
          <w:szCs w:val="24"/>
        </w:rPr>
        <w:t xml:space="preserve"> CA, </w:t>
      </w:r>
      <w:proofErr w:type="spellStart"/>
      <w:r w:rsidRPr="0054021C">
        <w:rPr>
          <w:rFonts w:ascii="Cambria" w:hAnsi="Cambria"/>
          <w:sz w:val="24"/>
          <w:szCs w:val="24"/>
        </w:rPr>
        <w:t>Stefanadis</w:t>
      </w:r>
      <w:proofErr w:type="spellEnd"/>
      <w:r w:rsidRPr="0054021C">
        <w:rPr>
          <w:rFonts w:ascii="Cambria" w:hAnsi="Cambria"/>
          <w:sz w:val="24"/>
          <w:szCs w:val="24"/>
        </w:rPr>
        <w:t xml:space="preserve"> C. Socio-economic status in relation to risk factors associated with cardiovascular disease, in healthy individuals from the ATTICA study. </w:t>
      </w:r>
      <w:proofErr w:type="spellStart"/>
      <w:r w:rsidRPr="0054021C">
        <w:rPr>
          <w:rFonts w:ascii="Cambria" w:hAnsi="Cambria"/>
          <w:i/>
          <w:iCs/>
          <w:sz w:val="24"/>
          <w:szCs w:val="24"/>
        </w:rPr>
        <w:t>Eur</w:t>
      </w:r>
      <w:proofErr w:type="spellEnd"/>
      <w:r w:rsidRPr="0054021C">
        <w:rPr>
          <w:rFonts w:ascii="Cambria" w:hAnsi="Cambria"/>
          <w:i/>
          <w:iCs/>
          <w:sz w:val="24"/>
          <w:szCs w:val="24"/>
        </w:rPr>
        <w:t xml:space="preserve"> J Cardiovasc Prev </w:t>
      </w:r>
      <w:proofErr w:type="spellStart"/>
      <w:r w:rsidRPr="0054021C">
        <w:rPr>
          <w:rFonts w:ascii="Cambria" w:hAnsi="Cambria"/>
          <w:i/>
          <w:iCs/>
          <w:sz w:val="24"/>
          <w:szCs w:val="24"/>
        </w:rPr>
        <w:t>Rehabil</w:t>
      </w:r>
      <w:proofErr w:type="spellEnd"/>
      <w:r w:rsidRPr="0054021C">
        <w:rPr>
          <w:rFonts w:ascii="Cambria" w:hAnsi="Cambria"/>
          <w:i/>
          <w:iCs/>
          <w:sz w:val="24"/>
          <w:szCs w:val="24"/>
        </w:rPr>
        <w:t>. </w:t>
      </w:r>
      <w:r w:rsidRPr="0054021C">
        <w:rPr>
          <w:rFonts w:ascii="Cambria" w:hAnsi="Cambria"/>
          <w:sz w:val="24"/>
          <w:szCs w:val="24"/>
        </w:rPr>
        <w:t>2005;12(1):68–74. </w:t>
      </w:r>
    </w:p>
    <w:p w14:paraId="274EB01D" w14:textId="77777777" w:rsidR="0054021C" w:rsidRDefault="0054021C" w:rsidP="002B0F75">
      <w:pPr>
        <w:spacing w:line="360" w:lineRule="auto"/>
        <w:rPr>
          <w:rFonts w:ascii="Cambria" w:hAnsi="Cambria"/>
          <w:sz w:val="24"/>
          <w:szCs w:val="24"/>
        </w:rPr>
      </w:pPr>
      <w:r w:rsidRPr="0054021C">
        <w:rPr>
          <w:rFonts w:ascii="Cambria" w:hAnsi="Cambria"/>
          <w:sz w:val="24"/>
          <w:szCs w:val="24"/>
        </w:rPr>
        <w:t>Ranjit N, Diez-Roux AV, Shea S, Cushman M, Ni H, Seeman T. Socioeconomic position, race/ethnicity, and inflammation in the multi-ethnic study of atherosclerosis. </w:t>
      </w:r>
      <w:r w:rsidRPr="0054021C">
        <w:rPr>
          <w:rFonts w:ascii="Cambria" w:hAnsi="Cambria"/>
          <w:i/>
          <w:iCs/>
          <w:sz w:val="24"/>
          <w:szCs w:val="24"/>
        </w:rPr>
        <w:t>Circulation. </w:t>
      </w:r>
      <w:r w:rsidRPr="0054021C">
        <w:rPr>
          <w:rFonts w:ascii="Cambria" w:hAnsi="Cambria"/>
          <w:sz w:val="24"/>
          <w:szCs w:val="24"/>
        </w:rPr>
        <w:t>2007;116(21):2383–2390.</w:t>
      </w:r>
    </w:p>
    <w:p w14:paraId="475214D6" w14:textId="1EF2A213" w:rsidR="00906B07" w:rsidRPr="004447E8" w:rsidRDefault="00906B07" w:rsidP="002B0F75">
      <w:pPr>
        <w:spacing w:line="360" w:lineRule="auto"/>
        <w:rPr>
          <w:rFonts w:ascii="Cambria" w:hAnsi="Cambria"/>
          <w:sz w:val="24"/>
          <w:szCs w:val="24"/>
          <w:lang w:val="en-US"/>
        </w:rPr>
      </w:pPr>
      <w:bookmarkStart w:id="171" w:name="_Hlk179651620"/>
      <w:r w:rsidRPr="00906B07">
        <w:rPr>
          <w:rFonts w:ascii="Cambria" w:hAnsi="Cambria"/>
          <w:sz w:val="24"/>
          <w:szCs w:val="24"/>
          <w:lang w:val="en-US"/>
        </w:rPr>
        <w:t>Rank</w:t>
      </w:r>
      <w:r>
        <w:rPr>
          <w:rFonts w:ascii="Cambria" w:hAnsi="Cambria"/>
          <w:sz w:val="24"/>
          <w:szCs w:val="24"/>
          <w:lang w:val="en-US"/>
        </w:rPr>
        <w:t xml:space="preserve"> </w:t>
      </w:r>
      <w:r w:rsidRPr="00906B07">
        <w:rPr>
          <w:rFonts w:ascii="Cambria" w:hAnsi="Cambria"/>
          <w:sz w:val="24"/>
          <w:szCs w:val="24"/>
          <w:lang w:val="en-US"/>
        </w:rPr>
        <w:t>M</w:t>
      </w:r>
      <w:r>
        <w:rPr>
          <w:rFonts w:ascii="Cambria" w:hAnsi="Cambria"/>
          <w:sz w:val="24"/>
          <w:szCs w:val="24"/>
          <w:lang w:val="en-US"/>
        </w:rPr>
        <w:t>,</w:t>
      </w:r>
      <w:r w:rsidRPr="00906B07">
        <w:rPr>
          <w:rFonts w:ascii="Cambria" w:hAnsi="Cambria"/>
          <w:sz w:val="24"/>
          <w:szCs w:val="24"/>
          <w:lang w:val="en-US"/>
        </w:rPr>
        <w:t xml:space="preserve"> and Hirschl</w:t>
      </w:r>
      <w:bookmarkEnd w:id="171"/>
      <w:r w:rsidRPr="00906B07">
        <w:rPr>
          <w:rFonts w:ascii="Cambria" w:hAnsi="Cambria"/>
          <w:sz w:val="24"/>
          <w:szCs w:val="24"/>
          <w:lang w:val="en-US"/>
        </w:rPr>
        <w:t xml:space="preserve"> T. Poverty Facts and Myths</w:t>
      </w:r>
      <w:r>
        <w:rPr>
          <w:rFonts w:ascii="Cambria" w:hAnsi="Cambria"/>
          <w:sz w:val="24"/>
          <w:szCs w:val="24"/>
          <w:lang w:val="en-US"/>
        </w:rPr>
        <w:t>:</w:t>
      </w:r>
      <w:r w:rsidRPr="00906B07">
        <w:rPr>
          <w:rFonts w:ascii="Cambria" w:hAnsi="Cambria"/>
          <w:sz w:val="24"/>
          <w:szCs w:val="24"/>
          <w:lang w:val="en-US"/>
        </w:rPr>
        <w:t xml:space="preserve"> Fact 4. </w:t>
      </w:r>
      <w:hyperlink r:id="rId136" w:history="1">
        <w:r w:rsidRPr="00906B07">
          <w:rPr>
            <w:rStyle w:val="Hyperlink"/>
            <w:rFonts w:ascii="Cambria" w:hAnsi="Cambria"/>
            <w:sz w:val="24"/>
            <w:szCs w:val="24"/>
            <w:lang w:val="en-US"/>
          </w:rPr>
          <w:t>https://confrontingpoverty.org/poverty-facts-and-myths/americas-poor-are-worse-off-than-elsewhere</w:t>
        </w:r>
      </w:hyperlink>
      <w:r w:rsidRPr="00906B07">
        <w:rPr>
          <w:rFonts w:ascii="Cambria" w:hAnsi="Cambria"/>
          <w:sz w:val="24"/>
          <w:szCs w:val="24"/>
          <w:lang w:val="en-US"/>
        </w:rPr>
        <w:t xml:space="preserve">. Accessed 12 October 2024. </w:t>
      </w:r>
    </w:p>
    <w:p w14:paraId="10C70169"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 xml:space="preserve">Regmi, S., Kedia, S. K., Ahuja, N. A., Lee, G., Entwistle, C., &amp; Dillon, P. J. (2023). Association Between Adverse Childhood Experiences and </w:t>
      </w:r>
      <w:bookmarkStart w:id="172" w:name="_Hlk180526462"/>
      <w:r w:rsidRPr="0054021C">
        <w:rPr>
          <w:rFonts w:ascii="Cambria" w:hAnsi="Cambria"/>
          <w:sz w:val="24"/>
          <w:szCs w:val="24"/>
        </w:rPr>
        <w:t>Opioid</w:t>
      </w:r>
      <w:bookmarkEnd w:id="172"/>
      <w:r w:rsidRPr="0054021C">
        <w:rPr>
          <w:rFonts w:ascii="Cambria" w:hAnsi="Cambria"/>
          <w:sz w:val="24"/>
          <w:szCs w:val="24"/>
        </w:rPr>
        <w:t xml:space="preserve"> Use-Related </w:t>
      </w:r>
      <w:proofErr w:type="spellStart"/>
      <w:r w:rsidRPr="0054021C">
        <w:rPr>
          <w:rFonts w:ascii="Cambria" w:hAnsi="Cambria"/>
          <w:sz w:val="24"/>
          <w:szCs w:val="24"/>
        </w:rPr>
        <w:t>Behaviors</w:t>
      </w:r>
      <w:proofErr w:type="spellEnd"/>
      <w:r w:rsidRPr="0054021C">
        <w:rPr>
          <w:rFonts w:ascii="Cambria" w:hAnsi="Cambria"/>
          <w:sz w:val="24"/>
          <w:szCs w:val="24"/>
        </w:rPr>
        <w:t>: A Systematic Review. </w:t>
      </w:r>
      <w:r w:rsidRPr="0054021C">
        <w:rPr>
          <w:rFonts w:ascii="Cambria" w:hAnsi="Cambria"/>
          <w:i/>
          <w:iCs/>
          <w:sz w:val="24"/>
          <w:szCs w:val="24"/>
        </w:rPr>
        <w:t>Trauma, Violence, &amp; Abuse</w:t>
      </w:r>
      <w:r w:rsidRPr="0054021C">
        <w:rPr>
          <w:rFonts w:ascii="Cambria" w:hAnsi="Cambria"/>
          <w:sz w:val="24"/>
          <w:szCs w:val="24"/>
        </w:rPr>
        <w:t>, </w:t>
      </w:r>
      <w:r w:rsidRPr="0054021C">
        <w:rPr>
          <w:rFonts w:ascii="Cambria" w:hAnsi="Cambria"/>
          <w:i/>
          <w:iCs/>
          <w:sz w:val="24"/>
          <w:szCs w:val="24"/>
        </w:rPr>
        <w:t>0</w:t>
      </w:r>
      <w:r w:rsidRPr="0054021C">
        <w:rPr>
          <w:rFonts w:ascii="Cambria" w:hAnsi="Cambria"/>
          <w:sz w:val="24"/>
          <w:szCs w:val="24"/>
        </w:rPr>
        <w:t>(0). </w:t>
      </w:r>
      <w:hyperlink r:id="rId137" w:history="1">
        <w:r w:rsidRPr="0054021C">
          <w:rPr>
            <w:rStyle w:val="Hyperlink"/>
            <w:rFonts w:ascii="Cambria" w:hAnsi="Cambria"/>
            <w:sz w:val="24"/>
            <w:szCs w:val="24"/>
          </w:rPr>
          <w:t>https://doi.org/10.1177/15248380231205821</w:t>
        </w:r>
      </w:hyperlink>
      <w:r w:rsidRPr="0054021C">
        <w:rPr>
          <w:rFonts w:ascii="Cambria" w:hAnsi="Cambria"/>
          <w:sz w:val="24"/>
          <w:szCs w:val="24"/>
        </w:rPr>
        <w:t>.</w:t>
      </w:r>
    </w:p>
    <w:p w14:paraId="3D8DC773" w14:textId="77777777" w:rsidR="0054021C" w:rsidRDefault="0054021C" w:rsidP="002B0F75">
      <w:pPr>
        <w:spacing w:line="360" w:lineRule="auto"/>
        <w:rPr>
          <w:rFonts w:ascii="Cambria" w:hAnsi="Cambria"/>
          <w:sz w:val="24"/>
          <w:szCs w:val="24"/>
        </w:rPr>
      </w:pPr>
      <w:r w:rsidRPr="0054021C">
        <w:rPr>
          <w:rFonts w:ascii="Cambria" w:hAnsi="Cambria"/>
          <w:sz w:val="24"/>
          <w:szCs w:val="24"/>
        </w:rPr>
        <w:t xml:space="preserve">Renna ME, Peng J, Shrout MR, Madison AA, </w:t>
      </w:r>
      <w:proofErr w:type="spellStart"/>
      <w:r w:rsidRPr="0054021C">
        <w:rPr>
          <w:rFonts w:ascii="Cambria" w:hAnsi="Cambria"/>
          <w:sz w:val="24"/>
          <w:szCs w:val="24"/>
        </w:rPr>
        <w:t>Andridge</w:t>
      </w:r>
      <w:proofErr w:type="spellEnd"/>
      <w:r w:rsidRPr="0054021C">
        <w:rPr>
          <w:rFonts w:ascii="Cambria" w:hAnsi="Cambria"/>
          <w:sz w:val="24"/>
          <w:szCs w:val="24"/>
        </w:rPr>
        <w:t xml:space="preserve"> R, Alfano CM, </w:t>
      </w:r>
      <w:proofErr w:type="spellStart"/>
      <w:r w:rsidRPr="0054021C">
        <w:rPr>
          <w:rFonts w:ascii="Cambria" w:hAnsi="Cambria"/>
          <w:sz w:val="24"/>
          <w:szCs w:val="24"/>
        </w:rPr>
        <w:t>Povoski</w:t>
      </w:r>
      <w:proofErr w:type="spellEnd"/>
      <w:r w:rsidRPr="0054021C">
        <w:rPr>
          <w:rFonts w:ascii="Cambria" w:hAnsi="Cambria"/>
          <w:sz w:val="24"/>
          <w:szCs w:val="24"/>
        </w:rPr>
        <w:t xml:space="preserve"> SP, Lipari AM, Malarkey WB, </w:t>
      </w:r>
      <w:proofErr w:type="spellStart"/>
      <w:r w:rsidRPr="0054021C">
        <w:rPr>
          <w:rFonts w:ascii="Cambria" w:hAnsi="Cambria"/>
          <w:sz w:val="24"/>
          <w:szCs w:val="24"/>
        </w:rPr>
        <w:t>Kiecolt</w:t>
      </w:r>
      <w:proofErr w:type="spellEnd"/>
      <w:r w:rsidRPr="0054021C">
        <w:rPr>
          <w:rFonts w:ascii="Cambria" w:hAnsi="Cambria"/>
          <w:sz w:val="24"/>
          <w:szCs w:val="24"/>
        </w:rPr>
        <w:t xml:space="preserve">-Glaser JK. Childhood abuse histories predict steeper inflammatory trajectories across time. </w:t>
      </w:r>
      <w:r w:rsidRPr="0054021C">
        <w:rPr>
          <w:rFonts w:ascii="Cambria" w:hAnsi="Cambria"/>
          <w:i/>
          <w:iCs/>
          <w:sz w:val="24"/>
          <w:szCs w:val="24"/>
        </w:rPr>
        <w:t xml:space="preserve">Brain </w:t>
      </w:r>
      <w:proofErr w:type="spellStart"/>
      <w:r w:rsidRPr="0054021C">
        <w:rPr>
          <w:rFonts w:ascii="Cambria" w:hAnsi="Cambria"/>
          <w:i/>
          <w:iCs/>
          <w:sz w:val="24"/>
          <w:szCs w:val="24"/>
        </w:rPr>
        <w:t>Behav</w:t>
      </w:r>
      <w:proofErr w:type="spellEnd"/>
      <w:r w:rsidRPr="0054021C">
        <w:rPr>
          <w:rFonts w:ascii="Cambria" w:hAnsi="Cambria"/>
          <w:i/>
          <w:iCs/>
          <w:sz w:val="24"/>
          <w:szCs w:val="24"/>
        </w:rPr>
        <w:t xml:space="preserve"> Immun</w:t>
      </w:r>
      <w:r w:rsidRPr="0054021C">
        <w:rPr>
          <w:rFonts w:ascii="Cambria" w:hAnsi="Cambria"/>
          <w:sz w:val="24"/>
          <w:szCs w:val="24"/>
        </w:rPr>
        <w:t xml:space="preserve">. 2021 </w:t>
      </w:r>
      <w:proofErr w:type="gramStart"/>
      <w:r w:rsidRPr="0054021C">
        <w:rPr>
          <w:rFonts w:ascii="Cambria" w:hAnsi="Cambria"/>
          <w:sz w:val="24"/>
          <w:szCs w:val="24"/>
        </w:rPr>
        <w:t>Jan;91:541</w:t>
      </w:r>
      <w:proofErr w:type="gramEnd"/>
      <w:r w:rsidRPr="0054021C">
        <w:rPr>
          <w:rFonts w:ascii="Cambria" w:hAnsi="Cambria"/>
          <w:sz w:val="24"/>
          <w:szCs w:val="24"/>
        </w:rPr>
        <w:t xml:space="preserve">-545. </w:t>
      </w:r>
      <w:proofErr w:type="spellStart"/>
      <w:r w:rsidRPr="0054021C">
        <w:rPr>
          <w:rFonts w:ascii="Cambria" w:hAnsi="Cambria"/>
          <w:sz w:val="24"/>
          <w:szCs w:val="24"/>
        </w:rPr>
        <w:t>doi</w:t>
      </w:r>
      <w:proofErr w:type="spellEnd"/>
      <w:r w:rsidRPr="0054021C">
        <w:rPr>
          <w:rFonts w:ascii="Cambria" w:hAnsi="Cambria"/>
          <w:sz w:val="24"/>
          <w:szCs w:val="24"/>
        </w:rPr>
        <w:t>: 10.1016/j.bbi.2020.11.012.</w:t>
      </w:r>
    </w:p>
    <w:p w14:paraId="5B128F57" w14:textId="4FA1D18E" w:rsidR="00AC1840" w:rsidRPr="0054021C" w:rsidRDefault="00AC1840" w:rsidP="002B0F75">
      <w:pPr>
        <w:spacing w:line="360" w:lineRule="auto"/>
        <w:rPr>
          <w:rFonts w:ascii="Cambria" w:hAnsi="Cambria"/>
          <w:sz w:val="24"/>
          <w:szCs w:val="24"/>
        </w:rPr>
      </w:pPr>
      <w:proofErr w:type="spellStart"/>
      <w:r w:rsidRPr="00AC1840">
        <w:rPr>
          <w:rFonts w:ascii="Cambria" w:hAnsi="Cambria"/>
          <w:sz w:val="24"/>
          <w:szCs w:val="24"/>
        </w:rPr>
        <w:t>Safren</w:t>
      </w:r>
      <w:proofErr w:type="spellEnd"/>
      <w:r w:rsidRPr="00AC1840">
        <w:rPr>
          <w:rFonts w:ascii="Cambria" w:hAnsi="Cambria"/>
          <w:sz w:val="24"/>
          <w:szCs w:val="24"/>
        </w:rPr>
        <w:t xml:space="preserve"> SA, Gershuny BS, </w:t>
      </w:r>
      <w:proofErr w:type="spellStart"/>
      <w:r w:rsidRPr="00AC1840">
        <w:rPr>
          <w:rFonts w:ascii="Cambria" w:hAnsi="Cambria"/>
          <w:sz w:val="24"/>
          <w:szCs w:val="24"/>
        </w:rPr>
        <w:t>Marzol</w:t>
      </w:r>
      <w:proofErr w:type="spellEnd"/>
      <w:r w:rsidRPr="00AC1840">
        <w:rPr>
          <w:rFonts w:ascii="Cambria" w:hAnsi="Cambria"/>
          <w:sz w:val="24"/>
          <w:szCs w:val="24"/>
        </w:rPr>
        <w:t xml:space="preserve"> P, Otto MW, Pollack MH. History of childhood abuse in panic disorder, social phobia, and generalized anxiety disorder. </w:t>
      </w:r>
      <w:r w:rsidRPr="007C3AC5">
        <w:rPr>
          <w:rFonts w:ascii="Cambria" w:hAnsi="Cambria"/>
          <w:i/>
          <w:iCs/>
          <w:sz w:val="24"/>
          <w:szCs w:val="24"/>
        </w:rPr>
        <w:t xml:space="preserve">J </w:t>
      </w:r>
      <w:proofErr w:type="spellStart"/>
      <w:r w:rsidRPr="007C3AC5">
        <w:rPr>
          <w:rFonts w:ascii="Cambria" w:hAnsi="Cambria"/>
          <w:i/>
          <w:iCs/>
          <w:sz w:val="24"/>
          <w:szCs w:val="24"/>
        </w:rPr>
        <w:t>Nerv</w:t>
      </w:r>
      <w:proofErr w:type="spellEnd"/>
      <w:r w:rsidRPr="007C3AC5">
        <w:rPr>
          <w:rFonts w:ascii="Cambria" w:hAnsi="Cambria"/>
          <w:i/>
          <w:iCs/>
          <w:sz w:val="24"/>
          <w:szCs w:val="24"/>
        </w:rPr>
        <w:t xml:space="preserve"> Ment Dis</w:t>
      </w:r>
      <w:r w:rsidRPr="00AC1840">
        <w:rPr>
          <w:rFonts w:ascii="Cambria" w:hAnsi="Cambria"/>
          <w:sz w:val="24"/>
          <w:szCs w:val="24"/>
        </w:rPr>
        <w:t>. 2002 Jul;190(7):453-6.</w:t>
      </w:r>
    </w:p>
    <w:p w14:paraId="03296A5C"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Slater, L. (2021). How to identify and address childhood trauma in primary care settings: AACAP 2021. </w:t>
      </w:r>
      <w:hyperlink r:id="rId138" w:history="1">
        <w:r w:rsidRPr="0054021C">
          <w:rPr>
            <w:rStyle w:val="Hyperlink"/>
            <w:rFonts w:ascii="Cambria" w:hAnsi="Cambria"/>
            <w:b/>
            <w:bCs/>
            <w:sz w:val="24"/>
            <w:szCs w:val="24"/>
          </w:rPr>
          <w:t>https://pro.psycom.net/news-research/conference-coverage/aacap-how-to-identify-and-address-childhood-trauma-in-primary-care-settings</w:t>
        </w:r>
      </w:hyperlink>
      <w:r w:rsidRPr="0054021C">
        <w:rPr>
          <w:rFonts w:ascii="Cambria" w:hAnsi="Cambria"/>
          <w:sz w:val="24"/>
          <w:szCs w:val="24"/>
        </w:rPr>
        <w:t>.</w:t>
      </w:r>
    </w:p>
    <w:p w14:paraId="66E20E42" w14:textId="77777777" w:rsidR="0054021C" w:rsidRPr="0054021C" w:rsidRDefault="0054021C" w:rsidP="002B0F75">
      <w:pPr>
        <w:spacing w:line="360" w:lineRule="auto"/>
        <w:rPr>
          <w:rFonts w:ascii="Cambria" w:hAnsi="Cambria"/>
          <w:sz w:val="24"/>
          <w:szCs w:val="24"/>
        </w:rPr>
      </w:pPr>
      <w:proofErr w:type="spellStart"/>
      <w:r w:rsidRPr="0054021C">
        <w:rPr>
          <w:rFonts w:ascii="Cambria" w:hAnsi="Cambria"/>
          <w:sz w:val="24"/>
          <w:szCs w:val="24"/>
        </w:rPr>
        <w:t>Slopen</w:t>
      </w:r>
      <w:proofErr w:type="spellEnd"/>
      <w:r w:rsidRPr="0054021C">
        <w:rPr>
          <w:rFonts w:ascii="Cambria" w:hAnsi="Cambria"/>
          <w:sz w:val="24"/>
          <w:szCs w:val="24"/>
        </w:rPr>
        <w:t xml:space="preserve"> N, </w:t>
      </w:r>
      <w:proofErr w:type="spellStart"/>
      <w:r w:rsidRPr="0054021C">
        <w:rPr>
          <w:rFonts w:ascii="Cambria" w:hAnsi="Cambria"/>
          <w:sz w:val="24"/>
          <w:szCs w:val="24"/>
        </w:rPr>
        <w:t>Kubzansky</w:t>
      </w:r>
      <w:proofErr w:type="spellEnd"/>
      <w:r w:rsidRPr="0054021C">
        <w:rPr>
          <w:rFonts w:ascii="Cambria" w:hAnsi="Cambria"/>
          <w:sz w:val="24"/>
          <w:szCs w:val="24"/>
        </w:rPr>
        <w:t xml:space="preserve"> LD, McLaughlin KA, Koenen KC. Childhood adversity and inflammatory processes in youth: a prospective study. </w:t>
      </w:r>
      <w:proofErr w:type="spellStart"/>
      <w:r w:rsidRPr="0054021C">
        <w:rPr>
          <w:rFonts w:ascii="Cambria" w:hAnsi="Cambria"/>
          <w:i/>
          <w:iCs/>
          <w:sz w:val="24"/>
          <w:szCs w:val="24"/>
        </w:rPr>
        <w:t>Psychoneuroendocrinology</w:t>
      </w:r>
      <w:proofErr w:type="spellEnd"/>
      <w:r w:rsidRPr="0054021C">
        <w:rPr>
          <w:rFonts w:ascii="Cambria" w:hAnsi="Cambria"/>
          <w:i/>
          <w:iCs/>
          <w:sz w:val="24"/>
          <w:szCs w:val="24"/>
        </w:rPr>
        <w:t>. </w:t>
      </w:r>
      <w:r w:rsidRPr="0054021C">
        <w:rPr>
          <w:rFonts w:ascii="Cambria" w:hAnsi="Cambria"/>
          <w:sz w:val="24"/>
          <w:szCs w:val="24"/>
        </w:rPr>
        <w:t>2013;38(2):188–200. </w:t>
      </w:r>
    </w:p>
    <w:p w14:paraId="0949D4B9" w14:textId="77777777" w:rsidR="0054021C" w:rsidRPr="0054021C" w:rsidRDefault="0054021C" w:rsidP="002B0F75">
      <w:pPr>
        <w:spacing w:line="360" w:lineRule="auto"/>
        <w:rPr>
          <w:rFonts w:ascii="Cambria" w:hAnsi="Cambria"/>
          <w:sz w:val="24"/>
          <w:szCs w:val="24"/>
        </w:rPr>
      </w:pPr>
      <w:proofErr w:type="spellStart"/>
      <w:r w:rsidRPr="0054021C">
        <w:rPr>
          <w:rFonts w:ascii="Cambria" w:hAnsi="Cambria"/>
          <w:sz w:val="24"/>
          <w:szCs w:val="24"/>
        </w:rPr>
        <w:lastRenderedPageBreak/>
        <w:t>Steinvil</w:t>
      </w:r>
      <w:proofErr w:type="spellEnd"/>
      <w:r w:rsidRPr="0054021C">
        <w:rPr>
          <w:rFonts w:ascii="Cambria" w:hAnsi="Cambria"/>
          <w:sz w:val="24"/>
          <w:szCs w:val="24"/>
        </w:rPr>
        <w:t xml:space="preserve"> A, Shirom A, Melamed S, Toker S, Justo D, Saar N, Shapira I, Berliner S, Rogowski O. Relation of educational level to inflammation-sensitive biomarker level. </w:t>
      </w:r>
      <w:r w:rsidRPr="0054021C">
        <w:rPr>
          <w:rFonts w:ascii="Cambria" w:hAnsi="Cambria"/>
          <w:i/>
          <w:iCs/>
          <w:sz w:val="24"/>
          <w:szCs w:val="24"/>
        </w:rPr>
        <w:t xml:space="preserve">Am J </w:t>
      </w:r>
      <w:proofErr w:type="spellStart"/>
      <w:r w:rsidRPr="0054021C">
        <w:rPr>
          <w:rFonts w:ascii="Cambria" w:hAnsi="Cambria"/>
          <w:i/>
          <w:iCs/>
          <w:sz w:val="24"/>
          <w:szCs w:val="24"/>
        </w:rPr>
        <w:t>Cardiol</w:t>
      </w:r>
      <w:proofErr w:type="spellEnd"/>
      <w:r w:rsidRPr="0054021C">
        <w:rPr>
          <w:rFonts w:ascii="Cambria" w:hAnsi="Cambria"/>
          <w:i/>
          <w:iCs/>
          <w:sz w:val="24"/>
          <w:szCs w:val="24"/>
        </w:rPr>
        <w:t>. </w:t>
      </w:r>
      <w:r w:rsidRPr="0054021C">
        <w:rPr>
          <w:rFonts w:ascii="Cambria" w:hAnsi="Cambria"/>
          <w:sz w:val="24"/>
          <w:szCs w:val="24"/>
        </w:rPr>
        <w:t>2008;102(8):1034–1039.</w:t>
      </w:r>
    </w:p>
    <w:p w14:paraId="7072600C" w14:textId="77777777" w:rsidR="0054021C" w:rsidRPr="0054021C" w:rsidRDefault="0054021C" w:rsidP="002B0F75">
      <w:pPr>
        <w:spacing w:line="360" w:lineRule="auto"/>
        <w:rPr>
          <w:rFonts w:ascii="Cambria" w:hAnsi="Cambria"/>
          <w:sz w:val="24"/>
          <w:szCs w:val="24"/>
        </w:rPr>
      </w:pPr>
      <w:proofErr w:type="spellStart"/>
      <w:r w:rsidRPr="0054021C">
        <w:rPr>
          <w:rFonts w:ascii="Cambria" w:hAnsi="Cambria"/>
          <w:sz w:val="24"/>
          <w:szCs w:val="24"/>
        </w:rPr>
        <w:t>Stoltenborgh</w:t>
      </w:r>
      <w:proofErr w:type="spellEnd"/>
      <w:r w:rsidRPr="0054021C">
        <w:rPr>
          <w:rFonts w:ascii="Cambria" w:hAnsi="Cambria"/>
          <w:sz w:val="24"/>
          <w:szCs w:val="24"/>
        </w:rPr>
        <w:t xml:space="preserve"> M, </w:t>
      </w:r>
      <w:proofErr w:type="spellStart"/>
      <w:r w:rsidRPr="0054021C">
        <w:rPr>
          <w:rFonts w:ascii="Cambria" w:hAnsi="Cambria"/>
          <w:sz w:val="24"/>
          <w:szCs w:val="24"/>
        </w:rPr>
        <w:t>Bakermans</w:t>
      </w:r>
      <w:proofErr w:type="spellEnd"/>
      <w:r w:rsidRPr="0054021C">
        <w:rPr>
          <w:rFonts w:ascii="Cambria" w:hAnsi="Cambria"/>
          <w:sz w:val="24"/>
          <w:szCs w:val="24"/>
        </w:rPr>
        <w:t xml:space="preserve">-Kranenburg MJ, van </w:t>
      </w:r>
      <w:proofErr w:type="spellStart"/>
      <w:r w:rsidRPr="0054021C">
        <w:rPr>
          <w:rFonts w:ascii="Cambria" w:hAnsi="Cambria"/>
          <w:sz w:val="24"/>
          <w:szCs w:val="24"/>
        </w:rPr>
        <w:t>IJzendoorn</w:t>
      </w:r>
      <w:proofErr w:type="spellEnd"/>
      <w:r w:rsidRPr="0054021C">
        <w:rPr>
          <w:rFonts w:ascii="Cambria" w:hAnsi="Cambria"/>
          <w:sz w:val="24"/>
          <w:szCs w:val="24"/>
        </w:rPr>
        <w:t xml:space="preserve"> MH. The neglect of child neglect: a meta-analytic review of the prevalence of neglect. </w:t>
      </w:r>
      <w:r w:rsidRPr="0054021C">
        <w:rPr>
          <w:rFonts w:ascii="Cambria" w:hAnsi="Cambria"/>
          <w:i/>
          <w:iCs/>
          <w:sz w:val="24"/>
          <w:szCs w:val="24"/>
        </w:rPr>
        <w:t xml:space="preserve">Soc Psychiatry </w:t>
      </w:r>
      <w:proofErr w:type="spellStart"/>
      <w:r w:rsidRPr="0054021C">
        <w:rPr>
          <w:rFonts w:ascii="Cambria" w:hAnsi="Cambria"/>
          <w:i/>
          <w:iCs/>
          <w:sz w:val="24"/>
          <w:szCs w:val="24"/>
        </w:rPr>
        <w:t>Psychiatr</w:t>
      </w:r>
      <w:proofErr w:type="spellEnd"/>
      <w:r w:rsidRPr="0054021C">
        <w:rPr>
          <w:rFonts w:ascii="Cambria" w:hAnsi="Cambria"/>
          <w:i/>
          <w:iCs/>
          <w:sz w:val="24"/>
          <w:szCs w:val="24"/>
        </w:rPr>
        <w:t xml:space="preserve"> </w:t>
      </w:r>
      <w:proofErr w:type="spellStart"/>
      <w:r w:rsidRPr="0054021C">
        <w:rPr>
          <w:rFonts w:ascii="Cambria" w:hAnsi="Cambria"/>
          <w:i/>
          <w:iCs/>
          <w:sz w:val="24"/>
          <w:szCs w:val="24"/>
        </w:rPr>
        <w:t>Epidemiol</w:t>
      </w:r>
      <w:proofErr w:type="spellEnd"/>
      <w:r w:rsidRPr="0054021C">
        <w:rPr>
          <w:rFonts w:ascii="Cambria" w:hAnsi="Cambria"/>
          <w:sz w:val="24"/>
          <w:szCs w:val="24"/>
        </w:rPr>
        <w:t>. 2013;48(3):345–55. </w:t>
      </w:r>
    </w:p>
    <w:p w14:paraId="6EDB97F4" w14:textId="77777777" w:rsidR="0054021C" w:rsidRPr="0054021C" w:rsidRDefault="0054021C" w:rsidP="002B0F75">
      <w:pPr>
        <w:spacing w:line="360" w:lineRule="auto"/>
        <w:rPr>
          <w:rFonts w:ascii="Cambria" w:hAnsi="Cambria"/>
          <w:sz w:val="24"/>
          <w:szCs w:val="24"/>
        </w:rPr>
      </w:pPr>
      <w:r w:rsidRPr="0054021C">
        <w:rPr>
          <w:rFonts w:ascii="Cambria" w:hAnsi="Cambria"/>
          <w:sz w:val="24"/>
          <w:szCs w:val="24"/>
        </w:rPr>
        <w:t>Tidmarsh LV, Harrison R, Ravindran D, Matthews SL, Finlay KA. The Influence of Adverse Childhood Experiences in Pain Management: Mechanisms, Processes, and Trauma-Informed Care</w:t>
      </w:r>
      <w:r w:rsidRPr="0054021C">
        <w:rPr>
          <w:rFonts w:ascii="Cambria" w:hAnsi="Cambria"/>
          <w:i/>
          <w:iCs/>
          <w:sz w:val="24"/>
          <w:szCs w:val="24"/>
        </w:rPr>
        <w:t>. Front Pain Res</w:t>
      </w:r>
      <w:r w:rsidRPr="0054021C">
        <w:rPr>
          <w:rFonts w:ascii="Cambria" w:hAnsi="Cambria"/>
          <w:sz w:val="24"/>
          <w:szCs w:val="24"/>
        </w:rPr>
        <w:t xml:space="preserve"> (Lausanne). 2022 Jun </w:t>
      </w:r>
      <w:proofErr w:type="gramStart"/>
      <w:r w:rsidRPr="0054021C">
        <w:rPr>
          <w:rFonts w:ascii="Cambria" w:hAnsi="Cambria"/>
          <w:sz w:val="24"/>
          <w:szCs w:val="24"/>
        </w:rPr>
        <w:t>10;3:923866</w:t>
      </w:r>
      <w:proofErr w:type="gramEnd"/>
      <w:r w:rsidRPr="0054021C">
        <w:rPr>
          <w:rFonts w:ascii="Cambria" w:hAnsi="Cambria"/>
          <w:sz w:val="24"/>
          <w:szCs w:val="24"/>
        </w:rPr>
        <w:t>. </w:t>
      </w:r>
    </w:p>
    <w:p w14:paraId="05DCCF27" w14:textId="5CD4972A" w:rsidR="009832C0" w:rsidRPr="00CD2F5C" w:rsidRDefault="009832C0" w:rsidP="002B0F75">
      <w:pPr>
        <w:spacing w:line="360" w:lineRule="auto"/>
        <w:rPr>
          <w:rFonts w:ascii="Cambria" w:hAnsi="Cambria"/>
          <w:sz w:val="24"/>
          <w:szCs w:val="24"/>
        </w:rPr>
      </w:pPr>
    </w:p>
    <w:p w14:paraId="39CA9BF6" w14:textId="791B59A8" w:rsidR="13B33B62" w:rsidRDefault="13B33B62" w:rsidP="002B0F75">
      <w:pPr>
        <w:spacing w:line="360" w:lineRule="auto"/>
      </w:pPr>
      <w:r>
        <w:br w:type="page"/>
      </w:r>
    </w:p>
    <w:p w14:paraId="1E1FCEBE" w14:textId="374A4422" w:rsidR="00684AAB" w:rsidRPr="00684AAB" w:rsidRDefault="00684AAB" w:rsidP="00684AAB">
      <w:pPr>
        <w:pStyle w:val="Heading1"/>
        <w:jc w:val="center"/>
      </w:pPr>
      <w:bookmarkStart w:id="173" w:name="_Toc181362884"/>
      <w:r w:rsidRPr="00684AAB">
        <w:lastRenderedPageBreak/>
        <w:t>Supplemental Materials</w:t>
      </w:r>
      <w:bookmarkEnd w:id="173"/>
    </w:p>
    <w:p w14:paraId="297915D9" w14:textId="3DE4FE15" w:rsidR="00684AAB" w:rsidRPr="00684AAB" w:rsidRDefault="00684AAB" w:rsidP="00684AAB">
      <w:pPr>
        <w:rPr>
          <w:rFonts w:ascii="Cambria" w:hAnsi="Cambria"/>
          <w:b/>
          <w:bCs/>
          <w:sz w:val="24"/>
          <w:szCs w:val="24"/>
        </w:rPr>
      </w:pPr>
      <w:r w:rsidRPr="00684AAB">
        <w:rPr>
          <w:rFonts w:ascii="Cambria" w:hAnsi="Cambria"/>
          <w:b/>
          <w:bCs/>
          <w:sz w:val="24"/>
          <w:szCs w:val="24"/>
        </w:rPr>
        <w:t>Contents:</w:t>
      </w:r>
    </w:p>
    <w:p w14:paraId="454B0319" w14:textId="037E9079" w:rsidR="00684AAB" w:rsidRPr="00684AAB" w:rsidRDefault="00684AAB" w:rsidP="00684AAB">
      <w:pPr>
        <w:ind w:left="720"/>
        <w:rPr>
          <w:rFonts w:ascii="Cambria" w:hAnsi="Cambria"/>
          <w:sz w:val="24"/>
          <w:szCs w:val="24"/>
        </w:rPr>
      </w:pPr>
      <w:r w:rsidRPr="00684AAB">
        <w:rPr>
          <w:rFonts w:ascii="Cambria" w:hAnsi="Cambria"/>
          <w:sz w:val="24"/>
          <w:szCs w:val="24"/>
        </w:rPr>
        <w:t>Chapter 2 Supplemental</w:t>
      </w:r>
      <w:r w:rsidRPr="00684AAB">
        <w:rPr>
          <w:rFonts w:ascii="Cambria" w:hAnsi="Cambria"/>
          <w:sz w:val="24"/>
          <w:szCs w:val="24"/>
        </w:rPr>
        <w:tab/>
      </w:r>
    </w:p>
    <w:p w14:paraId="69C2B923" w14:textId="64D5C5E8" w:rsidR="00684AAB" w:rsidRPr="00684AAB" w:rsidRDefault="00684AAB" w:rsidP="00684AAB">
      <w:pPr>
        <w:ind w:left="720"/>
        <w:rPr>
          <w:rFonts w:ascii="Cambria" w:hAnsi="Cambria"/>
          <w:sz w:val="24"/>
          <w:szCs w:val="24"/>
        </w:rPr>
      </w:pPr>
      <w:r w:rsidRPr="00684AAB">
        <w:rPr>
          <w:rFonts w:ascii="Cambria" w:hAnsi="Cambria"/>
          <w:sz w:val="24"/>
          <w:szCs w:val="24"/>
        </w:rPr>
        <w:t>Chapter 3 Supplemental</w:t>
      </w:r>
      <w:r w:rsidRPr="00684AAB">
        <w:rPr>
          <w:rFonts w:ascii="Cambria" w:hAnsi="Cambria"/>
          <w:sz w:val="24"/>
          <w:szCs w:val="24"/>
        </w:rPr>
        <w:tab/>
      </w:r>
    </w:p>
    <w:p w14:paraId="6E45527F" w14:textId="3F86E3A3" w:rsidR="00684AAB" w:rsidRPr="00684AAB" w:rsidRDefault="00684AAB" w:rsidP="00684AAB">
      <w:pPr>
        <w:ind w:left="720"/>
        <w:rPr>
          <w:rFonts w:ascii="Cambria" w:hAnsi="Cambria"/>
          <w:sz w:val="24"/>
          <w:szCs w:val="24"/>
        </w:rPr>
      </w:pPr>
      <w:r w:rsidRPr="00684AAB">
        <w:rPr>
          <w:rFonts w:ascii="Cambria" w:hAnsi="Cambria"/>
          <w:sz w:val="24"/>
          <w:szCs w:val="24"/>
        </w:rPr>
        <w:t>Chapter 4 Supplemental</w:t>
      </w:r>
      <w:r w:rsidRPr="00684AAB">
        <w:rPr>
          <w:rFonts w:ascii="Cambria" w:hAnsi="Cambria"/>
          <w:sz w:val="24"/>
          <w:szCs w:val="24"/>
        </w:rPr>
        <w:tab/>
      </w:r>
    </w:p>
    <w:p w14:paraId="273C734B" w14:textId="333BE9F3" w:rsidR="00684AAB" w:rsidRDefault="00684AAB" w:rsidP="00684AAB">
      <w:pPr>
        <w:ind w:left="720"/>
        <w:rPr>
          <w:rFonts w:ascii="Times New Roman" w:eastAsia="Times New Roman" w:hAnsi="Times New Roman" w:cs="Times New Roman"/>
          <w:b/>
          <w:bCs/>
          <w:kern w:val="36"/>
          <w:sz w:val="48"/>
          <w:szCs w:val="48"/>
        </w:rPr>
      </w:pPr>
      <w:r w:rsidRPr="00684AAB">
        <w:rPr>
          <w:rFonts w:ascii="Cambria" w:hAnsi="Cambria"/>
          <w:sz w:val="24"/>
          <w:szCs w:val="24"/>
        </w:rPr>
        <w:t>Supplemental Publications</w:t>
      </w:r>
      <w:r>
        <w:tab/>
      </w:r>
      <w:r>
        <w:br w:type="page"/>
      </w:r>
    </w:p>
    <w:p w14:paraId="5595D036" w14:textId="0AE5A6CB" w:rsidR="007B26A4" w:rsidRPr="00CD2F5C" w:rsidRDefault="007B26A4" w:rsidP="002B0F75">
      <w:pPr>
        <w:pStyle w:val="Heading1"/>
        <w:spacing w:line="360" w:lineRule="auto"/>
      </w:pPr>
      <w:bookmarkStart w:id="174" w:name="_Toc181362885"/>
      <w:r>
        <w:lastRenderedPageBreak/>
        <w:t>Chapter 2 supplemental</w:t>
      </w:r>
      <w:bookmarkEnd w:id="174"/>
    </w:p>
    <w:p w14:paraId="7DE94D85" w14:textId="5A993877" w:rsidR="007B26A4" w:rsidRDefault="007B26A4" w:rsidP="002B0F75">
      <w:pPr>
        <w:spacing w:line="360" w:lineRule="auto"/>
        <w:rPr>
          <w:rFonts w:ascii="Cambria" w:hAnsi="Cambria"/>
          <w:sz w:val="28"/>
          <w:szCs w:val="28"/>
        </w:rPr>
      </w:pPr>
      <w:r w:rsidRPr="002B0F75">
        <w:rPr>
          <w:rFonts w:ascii="Cambria" w:hAnsi="Cambria"/>
          <w:b/>
          <w:bCs/>
          <w:sz w:val="28"/>
          <w:szCs w:val="28"/>
        </w:rPr>
        <w:t xml:space="preserve">Appendix A. </w:t>
      </w:r>
      <w:r w:rsidRPr="002B0F75">
        <w:rPr>
          <w:rFonts w:ascii="Cambria" w:hAnsi="Cambria"/>
          <w:sz w:val="28"/>
          <w:szCs w:val="28"/>
        </w:rPr>
        <w:t>Search strategies</w:t>
      </w:r>
    </w:p>
    <w:p w14:paraId="0BA1AC51" w14:textId="77777777" w:rsidR="007B26A4" w:rsidRPr="00CD2F5C" w:rsidRDefault="007B26A4" w:rsidP="002B0F75">
      <w:pPr>
        <w:spacing w:line="360" w:lineRule="auto"/>
        <w:rPr>
          <w:rFonts w:ascii="Cambria" w:hAnsi="Cambria"/>
          <w:b/>
          <w:bCs/>
          <w:sz w:val="24"/>
          <w:szCs w:val="24"/>
        </w:rPr>
      </w:pPr>
      <w:r w:rsidRPr="00CD2F5C">
        <w:rPr>
          <w:rFonts w:ascii="Cambria" w:hAnsi="Cambria"/>
          <w:b/>
          <w:bCs/>
          <w:i/>
          <w:iCs/>
          <w:sz w:val="24"/>
          <w:szCs w:val="24"/>
        </w:rPr>
        <w:t>PubMed</w:t>
      </w:r>
    </w:p>
    <w:p w14:paraId="545C51B4" w14:textId="77777777" w:rsidR="007B26A4" w:rsidRPr="00CD2F5C" w:rsidRDefault="007B26A4" w:rsidP="002B0F75">
      <w:pPr>
        <w:spacing w:line="360" w:lineRule="auto"/>
        <w:rPr>
          <w:rFonts w:ascii="Cambria" w:hAnsi="Cambria"/>
          <w:i/>
          <w:iCs/>
          <w:sz w:val="24"/>
          <w:szCs w:val="24"/>
        </w:rPr>
      </w:pPr>
      <w:r w:rsidRPr="00CD2F5C">
        <w:rPr>
          <w:rFonts w:ascii="Cambria" w:hAnsi="Cambria"/>
          <w:i/>
          <w:iCs/>
          <w:sz w:val="24"/>
          <w:szCs w:val="24"/>
        </w:rPr>
        <w:t>Simple scoping search:</w:t>
      </w:r>
    </w:p>
    <w:p w14:paraId="74B73BA8"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"Pain"[Title] OR "Chronic pain"[Title]) AND ("Anxiety"[Mesh] AND "Childhood adversity"[Title] OR "ACE"[Title] OR "abuse"[Title] "ELA"[Title])</w:t>
      </w:r>
    </w:p>
    <w:p w14:paraId="347890FF" w14:textId="77777777" w:rsidR="007B26A4" w:rsidRPr="00CD2F5C" w:rsidRDefault="007B26A4" w:rsidP="002B0F75">
      <w:pPr>
        <w:spacing w:line="360" w:lineRule="auto"/>
        <w:rPr>
          <w:rFonts w:ascii="Cambria" w:hAnsi="Cambria"/>
          <w:i/>
          <w:iCs/>
          <w:sz w:val="24"/>
          <w:szCs w:val="24"/>
        </w:rPr>
      </w:pPr>
      <w:r w:rsidRPr="00CD2F5C">
        <w:rPr>
          <w:rFonts w:ascii="Cambria" w:hAnsi="Cambria"/>
          <w:i/>
          <w:iCs/>
          <w:sz w:val="24"/>
          <w:szCs w:val="24"/>
        </w:rPr>
        <w:t>Full search strategy:</w:t>
      </w:r>
    </w:p>
    <w:p w14:paraId="105F4EF2"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(((((child OR child's OR children OR children's OR stepchild OR stepchildren OR step-child OR step-children OR kid OR kids OR girl OR girls OR boy OR boys OR teenage* OR youth* OR youngster* OR adolescent* OR adolescence OR preschool* OR pre-school* OR kindergarten* OR "elementary school" OR "junior high" OR "middle school" OR "high school" OR high-schooler* OR elementary-school OR junior-high OR middle-school OR high-school OR juvenile* OR minors[</w:t>
      </w:r>
      <w:proofErr w:type="spellStart"/>
      <w:r w:rsidRPr="00CD2F5C">
        <w:rPr>
          <w:rFonts w:ascii="Cambria" w:hAnsi="Cambria"/>
          <w:sz w:val="24"/>
          <w:szCs w:val="24"/>
        </w:rPr>
        <w:t>tiab</w:t>
      </w:r>
      <w:proofErr w:type="spellEnd"/>
      <w:r w:rsidRPr="00CD2F5C">
        <w:rPr>
          <w:rFonts w:ascii="Cambria" w:hAnsi="Cambria"/>
          <w:sz w:val="24"/>
          <w:szCs w:val="24"/>
        </w:rPr>
        <w:t xml:space="preserve">] OR childhood OR </w:t>
      </w:r>
      <w:proofErr w:type="spellStart"/>
      <w:r w:rsidRPr="00CD2F5C">
        <w:rPr>
          <w:rFonts w:ascii="Cambria" w:hAnsi="Cambria"/>
          <w:sz w:val="24"/>
          <w:szCs w:val="24"/>
        </w:rPr>
        <w:t>pediatric</w:t>
      </w:r>
      <w:proofErr w:type="spellEnd"/>
      <w:r w:rsidRPr="00CD2F5C">
        <w:rPr>
          <w:rFonts w:ascii="Cambria" w:hAnsi="Cambria"/>
          <w:sz w:val="24"/>
          <w:szCs w:val="24"/>
        </w:rPr>
        <w:t xml:space="preserve">* OR </w:t>
      </w:r>
      <w:proofErr w:type="spellStart"/>
      <w:r w:rsidRPr="00CD2F5C">
        <w:rPr>
          <w:rFonts w:ascii="Cambria" w:hAnsi="Cambria"/>
          <w:sz w:val="24"/>
          <w:szCs w:val="24"/>
        </w:rPr>
        <w:t>pediatrician</w:t>
      </w:r>
      <w:proofErr w:type="spellEnd"/>
      <w:r w:rsidRPr="00CD2F5C">
        <w:rPr>
          <w:rFonts w:ascii="Cambria" w:hAnsi="Cambria"/>
          <w:sz w:val="24"/>
          <w:szCs w:val="24"/>
        </w:rPr>
        <w:t xml:space="preserve">* OR paediatric* OR paediatrician*) AND (assault* OR </w:t>
      </w:r>
      <w:proofErr w:type="spellStart"/>
      <w:r w:rsidRPr="00CD2F5C">
        <w:rPr>
          <w:rFonts w:ascii="Cambria" w:hAnsi="Cambria"/>
          <w:sz w:val="24"/>
          <w:szCs w:val="24"/>
        </w:rPr>
        <w:t>abus</w:t>
      </w:r>
      <w:proofErr w:type="spellEnd"/>
      <w:r w:rsidRPr="00CD2F5C">
        <w:rPr>
          <w:rFonts w:ascii="Cambria" w:hAnsi="Cambria"/>
          <w:sz w:val="24"/>
          <w:szCs w:val="24"/>
        </w:rPr>
        <w:t>* OR maltreatment* OR molest* OR rape OR raped OR rapes OR raping OR Sodom* OR trauma[</w:t>
      </w:r>
      <w:proofErr w:type="spellStart"/>
      <w:r w:rsidRPr="00CD2F5C">
        <w:rPr>
          <w:rFonts w:ascii="Cambria" w:hAnsi="Cambria"/>
          <w:sz w:val="24"/>
          <w:szCs w:val="24"/>
        </w:rPr>
        <w:t>tiab</w:t>
      </w:r>
      <w:proofErr w:type="spellEnd"/>
      <w:r w:rsidRPr="00CD2F5C">
        <w:rPr>
          <w:rFonts w:ascii="Cambria" w:hAnsi="Cambria"/>
          <w:sz w:val="24"/>
          <w:szCs w:val="24"/>
        </w:rPr>
        <w:t>] OR traumas[</w:t>
      </w:r>
      <w:proofErr w:type="spellStart"/>
      <w:r w:rsidRPr="00CD2F5C">
        <w:rPr>
          <w:rFonts w:ascii="Cambria" w:hAnsi="Cambria"/>
          <w:sz w:val="24"/>
          <w:szCs w:val="24"/>
        </w:rPr>
        <w:t>tiab</w:t>
      </w:r>
      <w:proofErr w:type="spellEnd"/>
      <w:r w:rsidRPr="00CD2F5C">
        <w:rPr>
          <w:rFonts w:ascii="Cambria" w:hAnsi="Cambria"/>
          <w:sz w:val="24"/>
          <w:szCs w:val="24"/>
        </w:rPr>
        <w:t>] OR traumatic[</w:t>
      </w:r>
      <w:proofErr w:type="spellStart"/>
      <w:r w:rsidRPr="00CD2F5C">
        <w:rPr>
          <w:rFonts w:ascii="Cambria" w:hAnsi="Cambria"/>
          <w:sz w:val="24"/>
          <w:szCs w:val="24"/>
        </w:rPr>
        <w:t>tiab</w:t>
      </w:r>
      <w:proofErr w:type="spellEnd"/>
      <w:r w:rsidRPr="00CD2F5C">
        <w:rPr>
          <w:rFonts w:ascii="Cambria" w:hAnsi="Cambria"/>
          <w:sz w:val="24"/>
          <w:szCs w:val="24"/>
        </w:rPr>
        <w:t xml:space="preserve">] OR </w:t>
      </w:r>
      <w:proofErr w:type="spellStart"/>
      <w:r w:rsidRPr="00CD2F5C">
        <w:rPr>
          <w:rFonts w:ascii="Cambria" w:hAnsi="Cambria"/>
          <w:sz w:val="24"/>
          <w:szCs w:val="24"/>
        </w:rPr>
        <w:t>violen</w:t>
      </w:r>
      <w:proofErr w:type="spellEnd"/>
      <w:r w:rsidRPr="00CD2F5C">
        <w:rPr>
          <w:rFonts w:ascii="Cambria" w:hAnsi="Cambria"/>
          <w:sz w:val="24"/>
          <w:szCs w:val="24"/>
        </w:rPr>
        <w:t xml:space="preserve">* OR crime OR criminal OR victim* OR </w:t>
      </w:r>
      <w:proofErr w:type="spellStart"/>
      <w:r w:rsidRPr="00CD2F5C">
        <w:rPr>
          <w:rFonts w:ascii="Cambria" w:hAnsi="Cambria"/>
          <w:sz w:val="24"/>
          <w:szCs w:val="24"/>
        </w:rPr>
        <w:t>pedophil</w:t>
      </w:r>
      <w:proofErr w:type="spellEnd"/>
      <w:r w:rsidRPr="00CD2F5C">
        <w:rPr>
          <w:rFonts w:ascii="Cambria" w:hAnsi="Cambria"/>
          <w:sz w:val="24"/>
          <w:szCs w:val="24"/>
        </w:rPr>
        <w:t xml:space="preserve">* OR </w:t>
      </w:r>
      <w:proofErr w:type="spellStart"/>
      <w:r w:rsidRPr="00CD2F5C">
        <w:rPr>
          <w:rFonts w:ascii="Cambria" w:hAnsi="Cambria"/>
          <w:sz w:val="24"/>
          <w:szCs w:val="24"/>
        </w:rPr>
        <w:t>paedophil</w:t>
      </w:r>
      <w:proofErr w:type="spellEnd"/>
      <w:r w:rsidRPr="00CD2F5C">
        <w:rPr>
          <w:rFonts w:ascii="Cambria" w:hAnsi="Cambria"/>
          <w:sz w:val="24"/>
          <w:szCs w:val="24"/>
        </w:rPr>
        <w:t>* OR incest* OR "adverse life event" OR "adverse life events" OR adversity OR "adverse experiences" OR "adverse experience")) OR ("Child Abuse"[Mesh] OR "Adult Survivors of Child Abuse"[Mesh]))) AND ((</w:t>
      </w:r>
      <w:proofErr w:type="spellStart"/>
      <w:r w:rsidRPr="00CD2F5C">
        <w:rPr>
          <w:rFonts w:ascii="Cambria" w:hAnsi="Cambria"/>
          <w:sz w:val="24"/>
          <w:szCs w:val="24"/>
        </w:rPr>
        <w:t>Anxie</w:t>
      </w:r>
      <w:proofErr w:type="spellEnd"/>
      <w:r w:rsidRPr="00CD2F5C">
        <w:rPr>
          <w:rFonts w:ascii="Cambria" w:hAnsi="Cambria"/>
          <w:sz w:val="24"/>
          <w:szCs w:val="24"/>
        </w:rPr>
        <w:t xml:space="preserve">* OR </w:t>
      </w:r>
      <w:proofErr w:type="spellStart"/>
      <w:r w:rsidRPr="00CD2F5C">
        <w:rPr>
          <w:rFonts w:ascii="Cambria" w:hAnsi="Cambria"/>
          <w:sz w:val="24"/>
          <w:szCs w:val="24"/>
        </w:rPr>
        <w:t>anxio</w:t>
      </w:r>
      <w:proofErr w:type="spellEnd"/>
      <w:r w:rsidRPr="00CD2F5C">
        <w:rPr>
          <w:rFonts w:ascii="Cambria" w:hAnsi="Cambria"/>
          <w:sz w:val="24"/>
          <w:szCs w:val="24"/>
        </w:rPr>
        <w:t xml:space="preserve">* OR neuroses OR neurosis OR </w:t>
      </w:r>
      <w:proofErr w:type="spellStart"/>
      <w:r w:rsidRPr="00CD2F5C">
        <w:rPr>
          <w:rFonts w:ascii="Cambria" w:hAnsi="Cambria"/>
          <w:sz w:val="24"/>
          <w:szCs w:val="24"/>
        </w:rPr>
        <w:t>Neuroti</w:t>
      </w:r>
      <w:proofErr w:type="spellEnd"/>
      <w:r w:rsidRPr="00CD2F5C">
        <w:rPr>
          <w:rFonts w:ascii="Cambria" w:hAnsi="Cambria"/>
          <w:sz w:val="24"/>
          <w:szCs w:val="24"/>
        </w:rPr>
        <w:t xml:space="preserve">* OR </w:t>
      </w:r>
      <w:proofErr w:type="spellStart"/>
      <w:r w:rsidRPr="00CD2F5C">
        <w:rPr>
          <w:rFonts w:ascii="Cambria" w:hAnsi="Cambria"/>
          <w:sz w:val="24"/>
          <w:szCs w:val="24"/>
        </w:rPr>
        <w:t>agoraphobi</w:t>
      </w:r>
      <w:proofErr w:type="spellEnd"/>
      <w:r w:rsidRPr="00CD2F5C">
        <w:rPr>
          <w:rFonts w:ascii="Cambria" w:hAnsi="Cambria"/>
          <w:sz w:val="24"/>
          <w:szCs w:val="24"/>
        </w:rPr>
        <w:t xml:space="preserve">* OR "Neurocirculatory Asthenia" OR Obsess* OR Panic OR </w:t>
      </w:r>
      <w:proofErr w:type="spellStart"/>
      <w:r w:rsidRPr="00CD2F5C">
        <w:rPr>
          <w:rFonts w:ascii="Cambria" w:hAnsi="Cambria"/>
          <w:sz w:val="24"/>
          <w:szCs w:val="24"/>
        </w:rPr>
        <w:t>Phobi</w:t>
      </w:r>
      <w:proofErr w:type="spellEnd"/>
      <w:r w:rsidRPr="00CD2F5C">
        <w:rPr>
          <w:rFonts w:ascii="Cambria" w:hAnsi="Cambria"/>
          <w:sz w:val="24"/>
          <w:szCs w:val="24"/>
        </w:rPr>
        <w:t xml:space="preserve">* OR ((Traumatic OR "past trauma" OR "past traumas" OR "childhood trauma" OR “ELA” OR “ACE” OR Combat OR Post-Traumatic OR posttraumatic OR combat-related OR combat-associated OR combat-induced OR post-combat ) AND (mental OR </w:t>
      </w:r>
      <w:proofErr w:type="spellStart"/>
      <w:r w:rsidRPr="00CD2F5C">
        <w:rPr>
          <w:rFonts w:ascii="Cambria" w:hAnsi="Cambria"/>
          <w:sz w:val="24"/>
          <w:szCs w:val="24"/>
        </w:rPr>
        <w:t>psychiat</w:t>
      </w:r>
      <w:proofErr w:type="spellEnd"/>
      <w:r w:rsidRPr="00CD2F5C">
        <w:rPr>
          <w:rFonts w:ascii="Cambria" w:hAnsi="Cambria"/>
          <w:sz w:val="24"/>
          <w:szCs w:val="24"/>
        </w:rPr>
        <w:t xml:space="preserve">* OR </w:t>
      </w:r>
      <w:proofErr w:type="spellStart"/>
      <w:r w:rsidRPr="00CD2F5C">
        <w:rPr>
          <w:rFonts w:ascii="Cambria" w:hAnsi="Cambria"/>
          <w:sz w:val="24"/>
          <w:szCs w:val="24"/>
        </w:rPr>
        <w:t>psycholog</w:t>
      </w:r>
      <w:proofErr w:type="spellEnd"/>
      <w:r w:rsidRPr="00CD2F5C">
        <w:rPr>
          <w:rFonts w:ascii="Cambria" w:hAnsi="Cambria"/>
          <w:sz w:val="24"/>
          <w:szCs w:val="24"/>
        </w:rPr>
        <w:t xml:space="preserve">* OR thought OR thoughts OR ideation OR stress OR stressful OR stresses)) OR PTSD ))) AND ((pain OR painful OR pains OR chronic pain OR persistent pain OR long term pain OR Pained OR Paining OR pain-free OR </w:t>
      </w:r>
      <w:proofErr w:type="spellStart"/>
      <w:r w:rsidRPr="00CD2F5C">
        <w:rPr>
          <w:rFonts w:ascii="Cambria" w:hAnsi="Cambria"/>
          <w:sz w:val="24"/>
          <w:szCs w:val="24"/>
        </w:rPr>
        <w:t>analges</w:t>
      </w:r>
      <w:proofErr w:type="spellEnd"/>
      <w:r w:rsidRPr="00CD2F5C">
        <w:rPr>
          <w:rFonts w:ascii="Cambria" w:hAnsi="Cambria"/>
          <w:sz w:val="24"/>
          <w:szCs w:val="24"/>
        </w:rPr>
        <w:t xml:space="preserve">* OR ache OR aches OR aching OR ached OR Suffer* OR Sore OR Soreness OR Affliction* OR Agony OR Agonies OR Agonizing OR </w:t>
      </w:r>
      <w:r w:rsidRPr="00CD2F5C">
        <w:rPr>
          <w:rFonts w:ascii="Cambria" w:hAnsi="Cambria"/>
          <w:sz w:val="24"/>
          <w:szCs w:val="24"/>
        </w:rPr>
        <w:lastRenderedPageBreak/>
        <w:t xml:space="preserve">Agonising OR Discomfort* OR Hurt* OR Twing* OR </w:t>
      </w:r>
      <w:proofErr w:type="spellStart"/>
      <w:r w:rsidRPr="00CD2F5C">
        <w:rPr>
          <w:rFonts w:ascii="Cambria" w:hAnsi="Cambria"/>
          <w:sz w:val="24"/>
          <w:szCs w:val="24"/>
        </w:rPr>
        <w:t>Irritat</w:t>
      </w:r>
      <w:proofErr w:type="spellEnd"/>
      <w:r w:rsidRPr="00CD2F5C">
        <w:rPr>
          <w:rFonts w:ascii="Cambria" w:hAnsi="Cambria"/>
          <w:sz w:val="24"/>
          <w:szCs w:val="24"/>
        </w:rPr>
        <w:t xml:space="preserve">* OR </w:t>
      </w:r>
      <w:proofErr w:type="spellStart"/>
      <w:r w:rsidRPr="00CD2F5C">
        <w:rPr>
          <w:rFonts w:ascii="Cambria" w:hAnsi="Cambria"/>
          <w:sz w:val="24"/>
          <w:szCs w:val="24"/>
        </w:rPr>
        <w:t>neuralg</w:t>
      </w:r>
      <w:proofErr w:type="spellEnd"/>
      <w:r w:rsidRPr="00CD2F5C">
        <w:rPr>
          <w:rFonts w:ascii="Cambria" w:hAnsi="Cambria"/>
          <w:sz w:val="24"/>
          <w:szCs w:val="24"/>
        </w:rPr>
        <w:t xml:space="preserve">* OR neuropath* OR </w:t>
      </w:r>
      <w:proofErr w:type="spellStart"/>
      <w:r w:rsidRPr="00CD2F5C">
        <w:rPr>
          <w:rFonts w:ascii="Cambria" w:hAnsi="Cambria"/>
          <w:sz w:val="24"/>
          <w:szCs w:val="24"/>
        </w:rPr>
        <w:t>fibromyalg</w:t>
      </w:r>
      <w:proofErr w:type="spellEnd"/>
      <w:r w:rsidRPr="00CD2F5C">
        <w:rPr>
          <w:rFonts w:ascii="Cambria" w:hAnsi="Cambria"/>
          <w:sz w:val="24"/>
          <w:szCs w:val="24"/>
        </w:rPr>
        <w:t xml:space="preserve">* OR </w:t>
      </w:r>
      <w:proofErr w:type="spellStart"/>
      <w:r w:rsidRPr="00CD2F5C">
        <w:rPr>
          <w:rFonts w:ascii="Cambria" w:hAnsi="Cambria"/>
          <w:sz w:val="24"/>
          <w:szCs w:val="24"/>
        </w:rPr>
        <w:t>headach</w:t>
      </w:r>
      <w:proofErr w:type="spellEnd"/>
      <w:r w:rsidRPr="00CD2F5C">
        <w:rPr>
          <w:rFonts w:ascii="Cambria" w:hAnsi="Cambria"/>
          <w:sz w:val="24"/>
          <w:szCs w:val="24"/>
        </w:rPr>
        <w:t xml:space="preserve">* OR </w:t>
      </w:r>
      <w:proofErr w:type="spellStart"/>
      <w:r w:rsidRPr="00CD2F5C">
        <w:rPr>
          <w:rFonts w:ascii="Cambria" w:hAnsi="Cambria"/>
          <w:sz w:val="24"/>
          <w:szCs w:val="24"/>
        </w:rPr>
        <w:t>migrain</w:t>
      </w:r>
      <w:proofErr w:type="spellEnd"/>
      <w:r w:rsidRPr="00CD2F5C">
        <w:rPr>
          <w:rFonts w:ascii="Cambria" w:hAnsi="Cambria"/>
          <w:sz w:val="24"/>
          <w:szCs w:val="24"/>
        </w:rPr>
        <w:t xml:space="preserve">* OR </w:t>
      </w:r>
      <w:proofErr w:type="spellStart"/>
      <w:r w:rsidRPr="00CD2F5C">
        <w:rPr>
          <w:rFonts w:ascii="Cambria" w:hAnsi="Cambria"/>
          <w:sz w:val="24"/>
          <w:szCs w:val="24"/>
        </w:rPr>
        <w:t>paresthes</w:t>
      </w:r>
      <w:proofErr w:type="spellEnd"/>
      <w:r w:rsidRPr="00CD2F5C">
        <w:rPr>
          <w:rFonts w:ascii="Cambria" w:hAnsi="Cambria"/>
          <w:sz w:val="24"/>
          <w:szCs w:val="24"/>
        </w:rPr>
        <w:t xml:space="preserve">* OR </w:t>
      </w:r>
      <w:proofErr w:type="spellStart"/>
      <w:r w:rsidRPr="00CD2F5C">
        <w:rPr>
          <w:rFonts w:ascii="Cambria" w:hAnsi="Cambria"/>
          <w:sz w:val="24"/>
          <w:szCs w:val="24"/>
        </w:rPr>
        <w:t>dysesthes</w:t>
      </w:r>
      <w:proofErr w:type="spellEnd"/>
      <w:r w:rsidRPr="00CD2F5C">
        <w:rPr>
          <w:rFonts w:ascii="Cambria" w:hAnsi="Cambria"/>
          <w:sz w:val="24"/>
          <w:szCs w:val="24"/>
        </w:rPr>
        <w:t xml:space="preserve">* OR </w:t>
      </w:r>
      <w:proofErr w:type="spellStart"/>
      <w:r w:rsidRPr="00CD2F5C">
        <w:rPr>
          <w:rFonts w:ascii="Cambria" w:hAnsi="Cambria"/>
          <w:sz w:val="24"/>
          <w:szCs w:val="24"/>
        </w:rPr>
        <w:t>allodyni</w:t>
      </w:r>
      <w:proofErr w:type="spellEnd"/>
      <w:r w:rsidRPr="00CD2F5C">
        <w:rPr>
          <w:rFonts w:ascii="Cambria" w:hAnsi="Cambria"/>
          <w:sz w:val="24"/>
          <w:szCs w:val="24"/>
        </w:rPr>
        <w:t xml:space="preserve">* OR </w:t>
      </w:r>
      <w:proofErr w:type="spellStart"/>
      <w:r w:rsidRPr="00CD2F5C">
        <w:rPr>
          <w:rFonts w:ascii="Cambria" w:hAnsi="Cambria"/>
          <w:sz w:val="24"/>
          <w:szCs w:val="24"/>
        </w:rPr>
        <w:t>hyperalgesi</w:t>
      </w:r>
      <w:proofErr w:type="spellEnd"/>
      <w:r w:rsidRPr="00CD2F5C">
        <w:rPr>
          <w:rFonts w:ascii="Cambria" w:hAnsi="Cambria"/>
          <w:sz w:val="24"/>
          <w:szCs w:val="24"/>
        </w:rPr>
        <w:t xml:space="preserve">* OR </w:t>
      </w:r>
      <w:proofErr w:type="spellStart"/>
      <w:r w:rsidRPr="00CD2F5C">
        <w:rPr>
          <w:rFonts w:ascii="Cambria" w:hAnsi="Cambria"/>
          <w:sz w:val="24"/>
          <w:szCs w:val="24"/>
        </w:rPr>
        <w:t>algesi</w:t>
      </w:r>
      <w:proofErr w:type="spellEnd"/>
      <w:r w:rsidRPr="00CD2F5C">
        <w:rPr>
          <w:rFonts w:ascii="Cambria" w:hAnsi="Cambria"/>
          <w:sz w:val="24"/>
          <w:szCs w:val="24"/>
        </w:rPr>
        <w:t>*))</w:t>
      </w:r>
    </w:p>
    <w:p w14:paraId="33645841" w14:textId="77777777" w:rsidR="007B26A4" w:rsidRPr="00CD2F5C" w:rsidRDefault="007B26A4" w:rsidP="002B0F75">
      <w:pPr>
        <w:spacing w:line="360" w:lineRule="auto"/>
        <w:rPr>
          <w:rFonts w:ascii="Cambria" w:hAnsi="Cambria"/>
          <w:i/>
          <w:iCs/>
          <w:sz w:val="24"/>
          <w:szCs w:val="24"/>
        </w:rPr>
      </w:pPr>
      <w:r w:rsidRPr="00CD2F5C">
        <w:rPr>
          <w:rFonts w:ascii="Cambria" w:hAnsi="Cambria"/>
          <w:i/>
          <w:iCs/>
          <w:sz w:val="24"/>
          <w:szCs w:val="24"/>
        </w:rPr>
        <w:t>Filters:</w:t>
      </w:r>
    </w:p>
    <w:p w14:paraId="2B9A9440"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Filters applied: Clinical Study, Clinical Trial, Dataset, Evaluation Study, Journal Article, Meta-Analysis, Observational Study, Randomized Controlled Trial, Systematic Review, Technical Report, Humans, English, Adult: 19+ years.</w:t>
      </w:r>
    </w:p>
    <w:p w14:paraId="64361E89" w14:textId="77777777" w:rsidR="007B26A4" w:rsidRPr="00CD2F5C" w:rsidRDefault="007B26A4" w:rsidP="002B0F75">
      <w:pPr>
        <w:spacing w:line="360" w:lineRule="auto"/>
        <w:rPr>
          <w:rFonts w:ascii="Cambria" w:hAnsi="Cambria"/>
          <w:b/>
          <w:bCs/>
          <w:i/>
          <w:iCs/>
          <w:sz w:val="24"/>
          <w:szCs w:val="24"/>
        </w:rPr>
      </w:pPr>
      <w:r w:rsidRPr="00CD2F5C">
        <w:rPr>
          <w:rFonts w:ascii="Cambria" w:hAnsi="Cambria"/>
          <w:b/>
          <w:bCs/>
          <w:i/>
          <w:iCs/>
          <w:sz w:val="24"/>
          <w:szCs w:val="24"/>
        </w:rPr>
        <w:t>EBSCOhost Research Databases</w:t>
      </w:r>
    </w:p>
    <w:p w14:paraId="0B3E4BF5" w14:textId="77777777" w:rsidR="007B26A4" w:rsidRPr="00CD2F5C" w:rsidRDefault="007B26A4" w:rsidP="002B0F75">
      <w:pPr>
        <w:spacing w:line="360" w:lineRule="auto"/>
        <w:rPr>
          <w:rFonts w:ascii="Cambria" w:hAnsi="Cambria"/>
          <w:i/>
          <w:iCs/>
          <w:sz w:val="24"/>
          <w:szCs w:val="24"/>
        </w:rPr>
      </w:pPr>
      <w:r w:rsidRPr="00CD2F5C">
        <w:rPr>
          <w:rFonts w:ascii="Cambria" w:hAnsi="Cambria"/>
          <w:i/>
          <w:iCs/>
          <w:sz w:val="24"/>
          <w:szCs w:val="24"/>
        </w:rPr>
        <w:t xml:space="preserve">Databases: </w:t>
      </w:r>
      <w:proofErr w:type="spellStart"/>
      <w:r w:rsidRPr="00CD2F5C">
        <w:rPr>
          <w:rFonts w:ascii="Cambria" w:hAnsi="Cambria"/>
          <w:i/>
          <w:iCs/>
          <w:sz w:val="24"/>
          <w:szCs w:val="24"/>
        </w:rPr>
        <w:t>PsycInfo</w:t>
      </w:r>
      <w:proofErr w:type="spellEnd"/>
      <w:r w:rsidRPr="00CD2F5C">
        <w:rPr>
          <w:rFonts w:ascii="Cambria" w:hAnsi="Cambria"/>
          <w:i/>
          <w:iCs/>
          <w:sz w:val="24"/>
          <w:szCs w:val="24"/>
        </w:rPr>
        <w:t xml:space="preserve">; MEDLINE; </w:t>
      </w:r>
      <w:proofErr w:type="spellStart"/>
      <w:r w:rsidRPr="00CD2F5C">
        <w:rPr>
          <w:rFonts w:ascii="Cambria" w:hAnsi="Cambria"/>
          <w:i/>
          <w:iCs/>
          <w:sz w:val="24"/>
          <w:szCs w:val="24"/>
        </w:rPr>
        <w:t>PsycArticles</w:t>
      </w:r>
      <w:proofErr w:type="spellEnd"/>
    </w:p>
    <w:p w14:paraId="6FF4B5D7" w14:textId="77777777" w:rsidR="007B26A4" w:rsidRPr="00CD2F5C" w:rsidRDefault="007B26A4" w:rsidP="002B0F75">
      <w:pPr>
        <w:spacing w:line="360" w:lineRule="auto"/>
        <w:rPr>
          <w:rFonts w:ascii="Cambria" w:hAnsi="Cambria"/>
          <w:b/>
          <w:bCs/>
          <w:sz w:val="24"/>
          <w:szCs w:val="24"/>
        </w:rPr>
      </w:pPr>
      <w:r w:rsidRPr="00CD2F5C">
        <w:rPr>
          <w:rFonts w:ascii="Cambria" w:hAnsi="Cambria"/>
          <w:i/>
          <w:iCs/>
          <w:sz w:val="24"/>
          <w:szCs w:val="24"/>
        </w:rPr>
        <w:t>Search:</w:t>
      </w:r>
    </w:p>
    <w:p w14:paraId="19F0F005" w14:textId="77777777" w:rsidR="007B26A4" w:rsidRPr="00CD2F5C" w:rsidRDefault="007B26A4" w:rsidP="002B0F75">
      <w:pPr>
        <w:spacing w:line="360" w:lineRule="auto"/>
        <w:rPr>
          <w:rFonts w:ascii="Cambria" w:hAnsi="Cambria"/>
          <w:sz w:val="24"/>
          <w:szCs w:val="24"/>
        </w:rPr>
      </w:pPr>
      <w:proofErr w:type="gramStart"/>
      <w:r w:rsidRPr="00CD2F5C">
        <w:rPr>
          <w:rFonts w:ascii="Cambria" w:hAnsi="Cambria"/>
          <w:sz w:val="24"/>
          <w:szCs w:val="24"/>
        </w:rPr>
        <w:t>( chronic</w:t>
      </w:r>
      <w:proofErr w:type="gramEnd"/>
      <w:r w:rsidRPr="00CD2F5C">
        <w:rPr>
          <w:rFonts w:ascii="Cambria" w:hAnsi="Cambria"/>
          <w:sz w:val="24"/>
          <w:szCs w:val="24"/>
        </w:rPr>
        <w:t xml:space="preserve"> pain or persistent pain or long term pain ) AND ( childhood trauma or childhood abuse or early life trauma or adverse childhood experiences ) AND ( anxiety disorders or anxiety or generalized anxiety disorder )</w:t>
      </w:r>
    </w:p>
    <w:p w14:paraId="4B34AD7B" w14:textId="77777777" w:rsidR="007B26A4" w:rsidRPr="00CD2F5C" w:rsidRDefault="007B26A4" w:rsidP="002B0F75">
      <w:pPr>
        <w:spacing w:line="360" w:lineRule="auto"/>
        <w:rPr>
          <w:rFonts w:ascii="Cambria" w:hAnsi="Cambria"/>
          <w:sz w:val="24"/>
          <w:szCs w:val="24"/>
        </w:rPr>
      </w:pPr>
    </w:p>
    <w:p w14:paraId="3EF03454" w14:textId="77777777" w:rsidR="007B26A4" w:rsidRPr="00CD2F5C" w:rsidRDefault="007B26A4" w:rsidP="002B0F75">
      <w:pPr>
        <w:spacing w:line="360" w:lineRule="auto"/>
        <w:rPr>
          <w:rFonts w:ascii="Cambria" w:hAnsi="Cambria"/>
          <w:sz w:val="24"/>
          <w:szCs w:val="24"/>
        </w:rPr>
      </w:pPr>
      <w:r w:rsidRPr="00CD2F5C">
        <w:rPr>
          <w:rFonts w:ascii="Cambria" w:hAnsi="Cambria"/>
          <w:b/>
          <w:bCs/>
          <w:sz w:val="24"/>
          <w:szCs w:val="24"/>
        </w:rPr>
        <w:t>Appendix B:</w:t>
      </w:r>
      <w:r w:rsidRPr="00CD2F5C">
        <w:rPr>
          <w:rFonts w:ascii="Cambria" w:hAnsi="Cambria"/>
          <w:sz w:val="24"/>
          <w:szCs w:val="24"/>
        </w:rPr>
        <w:t xml:space="preserve"> Quality assessment</w:t>
      </w:r>
    </w:p>
    <w:p w14:paraId="201462E5" w14:textId="77777777" w:rsidR="007B26A4" w:rsidRPr="00CD2F5C" w:rsidRDefault="007B26A4" w:rsidP="002B0F75">
      <w:pPr>
        <w:spacing w:line="360" w:lineRule="auto"/>
        <w:rPr>
          <w:rFonts w:ascii="Cambria" w:hAnsi="Cambria"/>
          <w:b/>
          <w:bCs/>
          <w:sz w:val="24"/>
          <w:szCs w:val="24"/>
        </w:rPr>
      </w:pPr>
      <w:r w:rsidRPr="00CD2F5C">
        <w:rPr>
          <w:rFonts w:ascii="Cambria" w:hAnsi="Cambria"/>
          <w:b/>
          <w:bCs/>
          <w:sz w:val="24"/>
          <w:szCs w:val="24"/>
        </w:rPr>
        <w:t>Table D1. Quality appraisal tools of interest</w:t>
      </w:r>
    </w:p>
    <w:tbl>
      <w:tblPr>
        <w:tblStyle w:val="TableGrid"/>
        <w:tblW w:w="0" w:type="auto"/>
        <w:tblLook w:val="04A0" w:firstRow="1" w:lastRow="0" w:firstColumn="1" w:lastColumn="0" w:noHBand="0" w:noVBand="1"/>
      </w:tblPr>
      <w:tblGrid>
        <w:gridCol w:w="2335"/>
        <w:gridCol w:w="1980"/>
        <w:gridCol w:w="5035"/>
      </w:tblGrid>
      <w:tr w:rsidR="007B26A4" w:rsidRPr="00CD2F5C" w14:paraId="45A0FF93" w14:textId="77777777" w:rsidTr="00BF4B86">
        <w:tc>
          <w:tcPr>
            <w:tcW w:w="2335" w:type="dxa"/>
            <w:shd w:val="clear" w:color="auto" w:fill="767171" w:themeFill="background2" w:themeFillShade="80"/>
          </w:tcPr>
          <w:p w14:paraId="49229FA4"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Organization</w:t>
            </w:r>
          </w:p>
        </w:tc>
        <w:tc>
          <w:tcPr>
            <w:tcW w:w="1980" w:type="dxa"/>
            <w:shd w:val="clear" w:color="auto" w:fill="767171" w:themeFill="background2" w:themeFillShade="80"/>
          </w:tcPr>
          <w:p w14:paraId="5053361C"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Tool</w:t>
            </w:r>
          </w:p>
        </w:tc>
        <w:tc>
          <w:tcPr>
            <w:tcW w:w="5035" w:type="dxa"/>
            <w:shd w:val="clear" w:color="auto" w:fill="767171" w:themeFill="background2" w:themeFillShade="80"/>
          </w:tcPr>
          <w:p w14:paraId="234FC0B7"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Study types</w:t>
            </w:r>
          </w:p>
        </w:tc>
      </w:tr>
      <w:tr w:rsidR="007B26A4" w:rsidRPr="00CD2F5C" w14:paraId="1109BE96" w14:textId="77777777" w:rsidTr="00BF4B86">
        <w:tc>
          <w:tcPr>
            <w:tcW w:w="2335" w:type="dxa"/>
            <w:tcBorders>
              <w:top w:val="single" w:sz="6" w:space="0" w:color="A6A6A6"/>
              <w:left w:val="single" w:sz="6" w:space="0" w:color="A6A6A6"/>
              <w:bottom w:val="single" w:sz="6" w:space="0" w:color="A6A6A6"/>
              <w:right w:val="single" w:sz="6" w:space="0" w:color="D5D5D5"/>
            </w:tcBorders>
            <w:shd w:val="clear" w:color="auto" w:fill="E7E6E6" w:themeFill="background2"/>
          </w:tcPr>
          <w:p w14:paraId="4C79951A"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The Joanna Briggs Institute (JBI)</w:t>
            </w:r>
          </w:p>
        </w:tc>
        <w:tc>
          <w:tcPr>
            <w:tcW w:w="1980" w:type="dxa"/>
            <w:tcBorders>
              <w:top w:val="single" w:sz="6" w:space="0" w:color="A6A6A6"/>
              <w:left w:val="single" w:sz="6" w:space="0" w:color="A6A6A6"/>
              <w:bottom w:val="single" w:sz="6" w:space="0" w:color="A6A6A6"/>
              <w:right w:val="single" w:sz="6" w:space="0" w:color="D5D5D5"/>
            </w:tcBorders>
            <w:shd w:val="clear" w:color="auto" w:fill="FFFFFF"/>
          </w:tcPr>
          <w:p w14:paraId="6F59D31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JBI critical appraisal checklist</w:t>
            </w:r>
          </w:p>
        </w:tc>
        <w:tc>
          <w:tcPr>
            <w:tcW w:w="5035" w:type="dxa"/>
            <w:tcBorders>
              <w:top w:val="single" w:sz="6" w:space="0" w:color="A6A6A6"/>
              <w:left w:val="single" w:sz="6" w:space="0" w:color="A6A6A6"/>
              <w:bottom w:val="single" w:sz="6" w:space="0" w:color="A6A6A6"/>
              <w:right w:val="single" w:sz="6" w:space="0" w:color="D5D5D5"/>
            </w:tcBorders>
            <w:shd w:val="clear" w:color="auto" w:fill="FFFFFF"/>
          </w:tcPr>
          <w:p w14:paraId="640438F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Randomized controlled trial</w:t>
            </w:r>
            <w:r w:rsidRPr="00CD2F5C">
              <w:rPr>
                <w:rFonts w:ascii="Cambria" w:hAnsi="Cambria"/>
                <w:sz w:val="24"/>
                <w:szCs w:val="24"/>
              </w:rPr>
              <w:br/>
            </w:r>
            <w:proofErr w:type="gramStart"/>
            <w:r w:rsidRPr="00CD2F5C">
              <w:rPr>
                <w:rFonts w:ascii="Cambria" w:hAnsi="Cambria"/>
                <w:sz w:val="24"/>
                <w:szCs w:val="24"/>
              </w:rPr>
              <w:t>Non-randomized</w:t>
            </w:r>
            <w:proofErr w:type="gramEnd"/>
            <w:r w:rsidRPr="00CD2F5C">
              <w:rPr>
                <w:rFonts w:ascii="Cambria" w:hAnsi="Cambria"/>
                <w:sz w:val="24"/>
                <w:szCs w:val="24"/>
              </w:rPr>
              <w:t xml:space="preserve"> experimental study</w:t>
            </w:r>
            <w:r w:rsidRPr="00CD2F5C">
              <w:rPr>
                <w:rFonts w:ascii="Cambria" w:hAnsi="Cambria"/>
                <w:sz w:val="24"/>
                <w:szCs w:val="24"/>
              </w:rPr>
              <w:br/>
              <w:t>Cohort study</w:t>
            </w:r>
            <w:r w:rsidRPr="00CD2F5C">
              <w:rPr>
                <w:rFonts w:ascii="Cambria" w:hAnsi="Cambria"/>
                <w:sz w:val="24"/>
                <w:szCs w:val="24"/>
              </w:rPr>
              <w:br/>
              <w:t>Case-control study</w:t>
            </w:r>
            <w:r w:rsidRPr="00CD2F5C">
              <w:rPr>
                <w:rFonts w:ascii="Cambria" w:hAnsi="Cambria"/>
                <w:sz w:val="24"/>
                <w:szCs w:val="24"/>
              </w:rPr>
              <w:br/>
              <w:t>Cross-sectional study</w:t>
            </w:r>
            <w:r w:rsidRPr="00CD2F5C">
              <w:rPr>
                <w:rFonts w:ascii="Cambria" w:hAnsi="Cambria"/>
                <w:sz w:val="24"/>
                <w:szCs w:val="24"/>
              </w:rPr>
              <w:br/>
              <w:t>Prevalence data</w:t>
            </w:r>
            <w:r w:rsidRPr="00CD2F5C">
              <w:rPr>
                <w:rFonts w:ascii="Cambria" w:hAnsi="Cambria"/>
                <w:sz w:val="24"/>
                <w:szCs w:val="24"/>
              </w:rPr>
              <w:br/>
              <w:t>Case reports</w:t>
            </w:r>
            <w:r w:rsidRPr="00CD2F5C">
              <w:rPr>
                <w:rFonts w:ascii="Cambria" w:hAnsi="Cambria"/>
                <w:sz w:val="24"/>
                <w:szCs w:val="24"/>
              </w:rPr>
              <w:br/>
              <w:t>Economic evaluation</w:t>
            </w:r>
            <w:r w:rsidRPr="00CD2F5C">
              <w:rPr>
                <w:rFonts w:ascii="Cambria" w:hAnsi="Cambria"/>
                <w:sz w:val="24"/>
                <w:szCs w:val="24"/>
              </w:rPr>
              <w:br/>
              <w:t>Qualitative study</w:t>
            </w:r>
            <w:r w:rsidRPr="00CD2F5C">
              <w:rPr>
                <w:rFonts w:ascii="Cambria" w:hAnsi="Cambria"/>
                <w:sz w:val="24"/>
                <w:szCs w:val="24"/>
              </w:rPr>
              <w:br/>
            </w:r>
            <w:r w:rsidRPr="00CD2F5C">
              <w:rPr>
                <w:rFonts w:ascii="Cambria" w:hAnsi="Cambria"/>
                <w:sz w:val="24"/>
                <w:szCs w:val="24"/>
              </w:rPr>
              <w:lastRenderedPageBreak/>
              <w:t>Text and expert opinion papers</w:t>
            </w:r>
            <w:r w:rsidRPr="00CD2F5C">
              <w:rPr>
                <w:rFonts w:ascii="Cambria" w:hAnsi="Cambria"/>
                <w:sz w:val="24"/>
                <w:szCs w:val="24"/>
              </w:rPr>
              <w:br/>
              <w:t>Systematic reviews and research syntheses</w:t>
            </w:r>
          </w:p>
        </w:tc>
      </w:tr>
      <w:tr w:rsidR="007B26A4" w:rsidRPr="00CD2F5C" w14:paraId="32BFD2EE" w14:textId="77777777" w:rsidTr="00BF4B86">
        <w:tc>
          <w:tcPr>
            <w:tcW w:w="2335" w:type="dxa"/>
            <w:tcBorders>
              <w:top w:val="single" w:sz="6" w:space="0" w:color="A6A6A6"/>
              <w:left w:val="single" w:sz="6" w:space="0" w:color="A6A6A6"/>
              <w:bottom w:val="single" w:sz="6" w:space="0" w:color="A6A6A6"/>
              <w:right w:val="single" w:sz="6" w:space="0" w:color="D5D5D5"/>
            </w:tcBorders>
            <w:shd w:val="clear" w:color="auto" w:fill="E7E6E6" w:themeFill="background2"/>
          </w:tcPr>
          <w:p w14:paraId="3DE14115"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lastRenderedPageBreak/>
              <w:t>The National Institutes of Health (NIH)</w:t>
            </w:r>
          </w:p>
        </w:tc>
        <w:tc>
          <w:tcPr>
            <w:tcW w:w="1980" w:type="dxa"/>
            <w:tcBorders>
              <w:top w:val="single" w:sz="6" w:space="0" w:color="A6A6A6"/>
              <w:left w:val="single" w:sz="6" w:space="0" w:color="A6A6A6"/>
              <w:bottom w:val="single" w:sz="6" w:space="0" w:color="A6A6A6"/>
              <w:right w:val="single" w:sz="6" w:space="0" w:color="D5D5D5"/>
            </w:tcBorders>
            <w:shd w:val="clear" w:color="auto" w:fill="FFFFFF"/>
          </w:tcPr>
          <w:p w14:paraId="058A8C2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NIH quality assessment tool</w:t>
            </w:r>
          </w:p>
        </w:tc>
        <w:tc>
          <w:tcPr>
            <w:tcW w:w="5035" w:type="dxa"/>
            <w:tcBorders>
              <w:top w:val="single" w:sz="6" w:space="0" w:color="A6A6A6"/>
              <w:left w:val="single" w:sz="6" w:space="0" w:color="A6A6A6"/>
              <w:bottom w:val="single" w:sz="6" w:space="0" w:color="A6A6A6"/>
              <w:right w:val="single" w:sz="6" w:space="0" w:color="D5D5D5"/>
            </w:tcBorders>
            <w:shd w:val="clear" w:color="auto" w:fill="FFFFFF"/>
          </w:tcPr>
          <w:p w14:paraId="2F2ED57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Controlled intervention study</w:t>
            </w:r>
            <w:r w:rsidRPr="00CD2F5C">
              <w:rPr>
                <w:rFonts w:ascii="Cambria" w:hAnsi="Cambria"/>
                <w:sz w:val="24"/>
                <w:szCs w:val="24"/>
              </w:rPr>
              <w:br/>
              <w:t>Cohort study</w:t>
            </w:r>
            <w:r w:rsidRPr="00CD2F5C">
              <w:rPr>
                <w:rFonts w:ascii="Cambria" w:hAnsi="Cambria"/>
                <w:sz w:val="24"/>
                <w:szCs w:val="24"/>
              </w:rPr>
              <w:br/>
              <w:t>Cross-sectional study</w:t>
            </w:r>
            <w:r w:rsidRPr="00CD2F5C">
              <w:rPr>
                <w:rFonts w:ascii="Cambria" w:hAnsi="Cambria"/>
                <w:sz w:val="24"/>
                <w:szCs w:val="24"/>
              </w:rPr>
              <w:br/>
              <w:t>Case-control study</w:t>
            </w:r>
            <w:r w:rsidRPr="00CD2F5C">
              <w:rPr>
                <w:rFonts w:ascii="Cambria" w:hAnsi="Cambria"/>
                <w:sz w:val="24"/>
                <w:szCs w:val="24"/>
              </w:rPr>
              <w:br/>
              <w:t>Before-after (Pre-post) study with no control group</w:t>
            </w:r>
            <w:r w:rsidRPr="00CD2F5C">
              <w:rPr>
                <w:rFonts w:ascii="Cambria" w:hAnsi="Cambria"/>
                <w:sz w:val="24"/>
                <w:szCs w:val="24"/>
              </w:rPr>
              <w:br/>
              <w:t>Case-series (Interventional)</w:t>
            </w:r>
            <w:r w:rsidRPr="00CD2F5C">
              <w:rPr>
                <w:rFonts w:ascii="Cambria" w:hAnsi="Cambria"/>
                <w:sz w:val="24"/>
                <w:szCs w:val="24"/>
              </w:rPr>
              <w:br/>
              <w:t>Systematic review and meta-analysis</w:t>
            </w:r>
          </w:p>
        </w:tc>
      </w:tr>
      <w:tr w:rsidR="007B26A4" w:rsidRPr="00CD2F5C" w14:paraId="702A2E4A" w14:textId="77777777" w:rsidTr="00BF4B86">
        <w:tc>
          <w:tcPr>
            <w:tcW w:w="2335" w:type="dxa"/>
            <w:tcBorders>
              <w:top w:val="single" w:sz="6" w:space="0" w:color="A6A6A6"/>
              <w:left w:val="single" w:sz="6" w:space="0" w:color="A6A6A6"/>
              <w:bottom w:val="single" w:sz="6" w:space="0" w:color="A6A6A6"/>
              <w:right w:val="single" w:sz="6" w:space="0" w:color="D5D5D5"/>
            </w:tcBorders>
            <w:shd w:val="clear" w:color="auto" w:fill="E7E6E6" w:themeFill="background2"/>
          </w:tcPr>
          <w:p w14:paraId="040BBDBF"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The Critical Appraisal Skills Programme (CASP)</w:t>
            </w:r>
          </w:p>
        </w:tc>
        <w:tc>
          <w:tcPr>
            <w:tcW w:w="1980" w:type="dxa"/>
            <w:tcBorders>
              <w:top w:val="single" w:sz="6" w:space="0" w:color="A6A6A6"/>
              <w:left w:val="single" w:sz="6" w:space="0" w:color="A6A6A6"/>
              <w:bottom w:val="single" w:sz="6" w:space="0" w:color="A6A6A6"/>
              <w:right w:val="single" w:sz="6" w:space="0" w:color="D5D5D5"/>
            </w:tcBorders>
            <w:shd w:val="clear" w:color="auto" w:fill="FFFFFF"/>
          </w:tcPr>
          <w:p w14:paraId="517AEE3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CASP checklist</w:t>
            </w:r>
          </w:p>
        </w:tc>
        <w:tc>
          <w:tcPr>
            <w:tcW w:w="5035" w:type="dxa"/>
            <w:tcBorders>
              <w:top w:val="single" w:sz="6" w:space="0" w:color="A6A6A6"/>
              <w:left w:val="single" w:sz="6" w:space="0" w:color="A6A6A6"/>
              <w:bottom w:val="single" w:sz="6" w:space="0" w:color="A6A6A6"/>
              <w:right w:val="single" w:sz="6" w:space="0" w:color="D5D5D5"/>
            </w:tcBorders>
            <w:shd w:val="clear" w:color="auto" w:fill="FFFFFF"/>
          </w:tcPr>
          <w:p w14:paraId="7411F67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Randomized controlled trial</w:t>
            </w:r>
            <w:r w:rsidRPr="00CD2F5C">
              <w:rPr>
                <w:rFonts w:ascii="Cambria" w:hAnsi="Cambria"/>
                <w:sz w:val="24"/>
                <w:szCs w:val="24"/>
              </w:rPr>
              <w:br/>
              <w:t>Cohort study</w:t>
            </w:r>
            <w:r w:rsidRPr="00CD2F5C">
              <w:rPr>
                <w:rFonts w:ascii="Cambria" w:hAnsi="Cambria"/>
                <w:sz w:val="24"/>
                <w:szCs w:val="24"/>
              </w:rPr>
              <w:br/>
              <w:t>Case-control study</w:t>
            </w:r>
            <w:r w:rsidRPr="00CD2F5C">
              <w:rPr>
                <w:rFonts w:ascii="Cambria" w:hAnsi="Cambria"/>
                <w:sz w:val="24"/>
                <w:szCs w:val="24"/>
              </w:rPr>
              <w:br/>
              <w:t>Cross-sectional study</w:t>
            </w:r>
            <w:r w:rsidRPr="00CD2F5C">
              <w:rPr>
                <w:rFonts w:ascii="Cambria" w:hAnsi="Cambria"/>
                <w:sz w:val="24"/>
                <w:szCs w:val="24"/>
              </w:rPr>
              <w:br/>
              <w:t>Diagnostic test study</w:t>
            </w:r>
            <w:r w:rsidRPr="00CD2F5C">
              <w:rPr>
                <w:rFonts w:ascii="Cambria" w:hAnsi="Cambria"/>
                <w:sz w:val="24"/>
                <w:szCs w:val="24"/>
              </w:rPr>
              <w:br/>
              <w:t>Clinical prediction rule</w:t>
            </w:r>
            <w:r w:rsidRPr="00CD2F5C">
              <w:rPr>
                <w:rFonts w:ascii="Cambria" w:hAnsi="Cambria"/>
                <w:sz w:val="24"/>
                <w:szCs w:val="24"/>
              </w:rPr>
              <w:br/>
              <w:t>Economic evaluation</w:t>
            </w:r>
            <w:r w:rsidRPr="00CD2F5C">
              <w:rPr>
                <w:rFonts w:ascii="Cambria" w:hAnsi="Cambria"/>
                <w:sz w:val="24"/>
                <w:szCs w:val="24"/>
              </w:rPr>
              <w:br/>
              <w:t>Qualitative study</w:t>
            </w:r>
            <w:r w:rsidRPr="00CD2F5C">
              <w:rPr>
                <w:rFonts w:ascii="Cambria" w:hAnsi="Cambria"/>
                <w:sz w:val="24"/>
                <w:szCs w:val="24"/>
              </w:rPr>
              <w:br/>
              <w:t>Systematic review</w:t>
            </w:r>
          </w:p>
        </w:tc>
      </w:tr>
    </w:tbl>
    <w:p w14:paraId="1D3ECA17" w14:textId="77777777" w:rsidR="007B26A4" w:rsidRPr="00CD2F5C" w:rsidRDefault="007B26A4" w:rsidP="002B0F75">
      <w:pPr>
        <w:spacing w:line="360" w:lineRule="auto"/>
        <w:rPr>
          <w:rFonts w:ascii="Cambria" w:hAnsi="Cambria"/>
          <w:sz w:val="24"/>
          <w:szCs w:val="24"/>
        </w:rPr>
      </w:pPr>
    </w:p>
    <w:p w14:paraId="0CDB9BEA"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The link to access the full JBI package of resources and example checklists can be viewed at: </w:t>
      </w:r>
      <w:hyperlink r:id="rId139" w:history="1">
        <w:r w:rsidRPr="00CD2F5C">
          <w:rPr>
            <w:rStyle w:val="Hyperlink"/>
            <w:rFonts w:ascii="Cambria" w:hAnsi="Cambria"/>
            <w:sz w:val="24"/>
            <w:szCs w:val="24"/>
          </w:rPr>
          <w:t>https://jbi-global-wiki.refined.site/space/MANUAL/4685874/Downloadable+PDF+-+current+version?attachment=/rest/api/content/4685874/child/attachment/att4691824/download&amp;type=application/pdf</w:t>
        </w:r>
      </w:hyperlink>
      <w:r w:rsidRPr="00CD2F5C">
        <w:rPr>
          <w:rFonts w:ascii="Cambria" w:hAnsi="Cambria"/>
          <w:sz w:val="24"/>
          <w:szCs w:val="24"/>
        </w:rPr>
        <w:t>.</w:t>
      </w:r>
    </w:p>
    <w:p w14:paraId="5FF92564"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The standard checklist questions applicable to </w:t>
      </w:r>
      <w:r w:rsidRPr="00CD2F5C">
        <w:rPr>
          <w:rFonts w:ascii="Cambria" w:hAnsi="Cambria"/>
          <w:b/>
          <w:bCs/>
          <w:sz w:val="24"/>
          <w:szCs w:val="24"/>
        </w:rPr>
        <w:t xml:space="preserve">Table D2 </w:t>
      </w:r>
      <w:r w:rsidRPr="00CD2F5C">
        <w:rPr>
          <w:rFonts w:ascii="Cambria" w:hAnsi="Cambria"/>
          <w:sz w:val="24"/>
          <w:szCs w:val="24"/>
        </w:rPr>
        <w:t>of the initial 87 studies extracted included:</w:t>
      </w:r>
    </w:p>
    <w:p w14:paraId="741C4ECF"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1. Is the review question clearly and explicitly stated? </w:t>
      </w:r>
    </w:p>
    <w:p w14:paraId="7D084119"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2. Were the inclusion criteria appropriate for the review question? </w:t>
      </w:r>
    </w:p>
    <w:p w14:paraId="40B65D7C"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lastRenderedPageBreak/>
        <w:t xml:space="preserve">3. Was the search strategy appropriate? </w:t>
      </w:r>
    </w:p>
    <w:p w14:paraId="2F2D2C33"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4. Were the sources and resources used to search for studies adequate? </w:t>
      </w:r>
    </w:p>
    <w:p w14:paraId="7305654F"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5. Were the criteria for appraising studies appropriate? </w:t>
      </w:r>
    </w:p>
    <w:p w14:paraId="310C7E29"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6. Was critical appraisal conducted by two or more reviewers independently? </w:t>
      </w:r>
    </w:p>
    <w:p w14:paraId="4750CB7A"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7. Were there methods to minimize errors in data extraction? </w:t>
      </w:r>
    </w:p>
    <w:p w14:paraId="019AE655"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8. Were the methods used to combine studies appropriate? </w:t>
      </w:r>
    </w:p>
    <w:p w14:paraId="2E830AA5"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9. Was the likelihood of publication bias assessed?</w:t>
      </w:r>
    </w:p>
    <w:p w14:paraId="743C2585"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10. Were recommendations for policy and/or practice supported by the reported data?</w:t>
      </w:r>
    </w:p>
    <w:p w14:paraId="427852E5"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11. Were the specific directives for new research appropriate?</w:t>
      </w:r>
    </w:p>
    <w:p w14:paraId="1D10E8E5" w14:textId="77777777" w:rsidR="007B26A4" w:rsidRPr="00CD2F5C" w:rsidRDefault="007B26A4" w:rsidP="002B0F75">
      <w:pPr>
        <w:spacing w:line="360" w:lineRule="auto"/>
        <w:rPr>
          <w:rFonts w:ascii="Cambria" w:hAnsi="Cambria"/>
          <w:b/>
          <w:bCs/>
          <w:sz w:val="24"/>
          <w:szCs w:val="24"/>
        </w:rPr>
      </w:pPr>
      <w:r w:rsidRPr="00CD2F5C">
        <w:rPr>
          <w:rFonts w:ascii="Cambria" w:hAnsi="Cambria"/>
          <w:b/>
          <w:bCs/>
          <w:sz w:val="24"/>
          <w:szCs w:val="24"/>
        </w:rPr>
        <w:t>Table D2. JBI Assessment of Studies</w:t>
      </w:r>
    </w:p>
    <w:tbl>
      <w:tblPr>
        <w:tblStyle w:val="TableGrid"/>
        <w:tblW w:w="9000" w:type="dxa"/>
        <w:tblInd w:w="-5" w:type="dxa"/>
        <w:tblBorders>
          <w:insideH w:val="none" w:sz="0" w:space="0" w:color="auto"/>
          <w:insideV w:val="none" w:sz="0" w:space="0" w:color="auto"/>
        </w:tblBorders>
        <w:tblLayout w:type="fixed"/>
        <w:tblLook w:val="04A0" w:firstRow="1" w:lastRow="0" w:firstColumn="1" w:lastColumn="0" w:noHBand="0" w:noVBand="1"/>
      </w:tblPr>
      <w:tblGrid>
        <w:gridCol w:w="2520"/>
        <w:gridCol w:w="1080"/>
        <w:gridCol w:w="540"/>
        <w:gridCol w:w="540"/>
        <w:gridCol w:w="540"/>
        <w:gridCol w:w="450"/>
        <w:gridCol w:w="450"/>
        <w:gridCol w:w="450"/>
        <w:gridCol w:w="450"/>
        <w:gridCol w:w="450"/>
        <w:gridCol w:w="473"/>
        <w:gridCol w:w="517"/>
        <w:gridCol w:w="540"/>
      </w:tblGrid>
      <w:tr w:rsidR="007B26A4" w:rsidRPr="00CD2F5C" w14:paraId="4369BE75" w14:textId="77777777" w:rsidTr="00BF4B86">
        <w:trPr>
          <w:trHeight w:val="679"/>
          <w:tblHeader/>
        </w:trPr>
        <w:tc>
          <w:tcPr>
            <w:tcW w:w="2520" w:type="dxa"/>
            <w:vMerge w:val="restart"/>
            <w:shd w:val="clear" w:color="auto" w:fill="E7E6E6" w:themeFill="background2"/>
          </w:tcPr>
          <w:p w14:paraId="2CC35A88"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 xml:space="preserve">Study </w:t>
            </w:r>
          </w:p>
          <w:p w14:paraId="5D74D5DE"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(Authors, Year, Title)</w:t>
            </w:r>
          </w:p>
        </w:tc>
        <w:tc>
          <w:tcPr>
            <w:tcW w:w="1080" w:type="dxa"/>
            <w:vMerge w:val="restart"/>
            <w:shd w:val="clear" w:color="auto" w:fill="E7E6E6" w:themeFill="background2"/>
          </w:tcPr>
          <w:p w14:paraId="663D83E8"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 xml:space="preserve">Decision to Include: </w:t>
            </w:r>
          </w:p>
          <w:p w14:paraId="60FA4873"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Yes (Y)</w:t>
            </w:r>
          </w:p>
          <w:p w14:paraId="7CBA5690"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No (N)</w:t>
            </w:r>
          </w:p>
          <w:p w14:paraId="1397DD02"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Revisit (R)</w:t>
            </w:r>
          </w:p>
        </w:tc>
        <w:tc>
          <w:tcPr>
            <w:tcW w:w="5400" w:type="dxa"/>
            <w:gridSpan w:val="11"/>
            <w:shd w:val="clear" w:color="auto" w:fill="E7E6E6" w:themeFill="background2"/>
          </w:tcPr>
          <w:p w14:paraId="44065198"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JBI Checklist*</w:t>
            </w:r>
          </w:p>
          <w:p w14:paraId="41751314"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Scores: Yes (Y), No (N), Unsure (U), Not applicable (NA)</w:t>
            </w:r>
          </w:p>
        </w:tc>
      </w:tr>
      <w:tr w:rsidR="007B26A4" w:rsidRPr="00CD2F5C" w14:paraId="57687DDB" w14:textId="77777777" w:rsidTr="00BF4B86">
        <w:trPr>
          <w:trHeight w:val="395"/>
          <w:tblHeader/>
        </w:trPr>
        <w:tc>
          <w:tcPr>
            <w:tcW w:w="2520" w:type="dxa"/>
            <w:vMerge/>
            <w:shd w:val="clear" w:color="auto" w:fill="E7E6E6" w:themeFill="background2"/>
          </w:tcPr>
          <w:p w14:paraId="4ABC6053" w14:textId="77777777" w:rsidR="007B26A4" w:rsidRPr="00CD2F5C" w:rsidRDefault="007B26A4" w:rsidP="002B0F75">
            <w:pPr>
              <w:spacing w:after="160" w:line="360" w:lineRule="auto"/>
              <w:rPr>
                <w:rFonts w:ascii="Cambria" w:hAnsi="Cambria"/>
                <w:b/>
                <w:bCs/>
                <w:sz w:val="24"/>
                <w:szCs w:val="24"/>
              </w:rPr>
            </w:pPr>
          </w:p>
        </w:tc>
        <w:tc>
          <w:tcPr>
            <w:tcW w:w="1080" w:type="dxa"/>
            <w:vMerge/>
            <w:shd w:val="clear" w:color="auto" w:fill="E7E6E6" w:themeFill="background2"/>
          </w:tcPr>
          <w:p w14:paraId="37C8377B" w14:textId="77777777" w:rsidR="007B26A4" w:rsidRPr="00CD2F5C" w:rsidRDefault="007B26A4" w:rsidP="002B0F75">
            <w:pPr>
              <w:spacing w:after="160" w:line="360" w:lineRule="auto"/>
              <w:rPr>
                <w:rFonts w:ascii="Cambria" w:hAnsi="Cambria"/>
                <w:b/>
                <w:bCs/>
                <w:sz w:val="24"/>
                <w:szCs w:val="24"/>
              </w:rPr>
            </w:pPr>
          </w:p>
        </w:tc>
        <w:tc>
          <w:tcPr>
            <w:tcW w:w="540" w:type="dxa"/>
            <w:shd w:val="clear" w:color="auto" w:fill="E7E6E6" w:themeFill="background2"/>
          </w:tcPr>
          <w:p w14:paraId="17052FAB"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1</w:t>
            </w:r>
          </w:p>
        </w:tc>
        <w:tc>
          <w:tcPr>
            <w:tcW w:w="540" w:type="dxa"/>
            <w:shd w:val="clear" w:color="auto" w:fill="E7E6E6" w:themeFill="background2"/>
          </w:tcPr>
          <w:p w14:paraId="3D027FA0"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2</w:t>
            </w:r>
          </w:p>
        </w:tc>
        <w:tc>
          <w:tcPr>
            <w:tcW w:w="540" w:type="dxa"/>
            <w:shd w:val="clear" w:color="auto" w:fill="E7E6E6" w:themeFill="background2"/>
          </w:tcPr>
          <w:p w14:paraId="23E6E210"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3</w:t>
            </w:r>
          </w:p>
        </w:tc>
        <w:tc>
          <w:tcPr>
            <w:tcW w:w="450" w:type="dxa"/>
            <w:shd w:val="clear" w:color="auto" w:fill="E7E6E6" w:themeFill="background2"/>
          </w:tcPr>
          <w:p w14:paraId="6B7B377B"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4</w:t>
            </w:r>
          </w:p>
        </w:tc>
        <w:tc>
          <w:tcPr>
            <w:tcW w:w="450" w:type="dxa"/>
            <w:shd w:val="clear" w:color="auto" w:fill="E7E6E6" w:themeFill="background2"/>
          </w:tcPr>
          <w:p w14:paraId="710C684F"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5</w:t>
            </w:r>
          </w:p>
        </w:tc>
        <w:tc>
          <w:tcPr>
            <w:tcW w:w="450" w:type="dxa"/>
            <w:shd w:val="clear" w:color="auto" w:fill="E7E6E6" w:themeFill="background2"/>
          </w:tcPr>
          <w:p w14:paraId="040A9E02"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6</w:t>
            </w:r>
          </w:p>
        </w:tc>
        <w:tc>
          <w:tcPr>
            <w:tcW w:w="450" w:type="dxa"/>
            <w:shd w:val="clear" w:color="auto" w:fill="E7E6E6" w:themeFill="background2"/>
          </w:tcPr>
          <w:p w14:paraId="265C5738"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7</w:t>
            </w:r>
          </w:p>
        </w:tc>
        <w:tc>
          <w:tcPr>
            <w:tcW w:w="450" w:type="dxa"/>
            <w:shd w:val="clear" w:color="auto" w:fill="E7E6E6" w:themeFill="background2"/>
          </w:tcPr>
          <w:p w14:paraId="3F8AC46E"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8</w:t>
            </w:r>
          </w:p>
        </w:tc>
        <w:tc>
          <w:tcPr>
            <w:tcW w:w="473" w:type="dxa"/>
            <w:shd w:val="clear" w:color="auto" w:fill="E7E6E6" w:themeFill="background2"/>
          </w:tcPr>
          <w:p w14:paraId="499E7592"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9</w:t>
            </w:r>
          </w:p>
        </w:tc>
        <w:tc>
          <w:tcPr>
            <w:tcW w:w="517" w:type="dxa"/>
            <w:shd w:val="clear" w:color="auto" w:fill="E7E6E6" w:themeFill="background2"/>
          </w:tcPr>
          <w:p w14:paraId="5F113210"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10</w:t>
            </w:r>
          </w:p>
        </w:tc>
        <w:tc>
          <w:tcPr>
            <w:tcW w:w="540" w:type="dxa"/>
            <w:shd w:val="clear" w:color="auto" w:fill="E7E6E6" w:themeFill="background2"/>
          </w:tcPr>
          <w:p w14:paraId="31BA695A" w14:textId="77777777" w:rsidR="007B26A4" w:rsidRPr="00CD2F5C" w:rsidRDefault="007B26A4" w:rsidP="002B0F75">
            <w:pPr>
              <w:spacing w:after="160" w:line="360" w:lineRule="auto"/>
              <w:rPr>
                <w:rFonts w:ascii="Cambria" w:hAnsi="Cambria"/>
                <w:b/>
                <w:bCs/>
                <w:sz w:val="24"/>
                <w:szCs w:val="24"/>
              </w:rPr>
            </w:pPr>
            <w:r w:rsidRPr="00CD2F5C">
              <w:rPr>
                <w:rFonts w:ascii="Cambria" w:hAnsi="Cambria"/>
                <w:b/>
                <w:bCs/>
                <w:sz w:val="24"/>
                <w:szCs w:val="24"/>
              </w:rPr>
              <w:t>11</w:t>
            </w:r>
          </w:p>
        </w:tc>
      </w:tr>
      <w:tr w:rsidR="007B26A4" w:rsidRPr="00CD2F5C" w14:paraId="3DE9510E" w14:textId="77777777" w:rsidTr="00BF4B86">
        <w:trPr>
          <w:trHeight w:val="339"/>
        </w:trPr>
        <w:tc>
          <w:tcPr>
            <w:tcW w:w="2520" w:type="dxa"/>
          </w:tcPr>
          <w:p w14:paraId="5EB1246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Abdin et al. 2020</w:t>
            </w:r>
          </w:p>
        </w:tc>
        <w:tc>
          <w:tcPr>
            <w:tcW w:w="1080" w:type="dxa"/>
          </w:tcPr>
          <w:p w14:paraId="4CCF830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FE3639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16F5CF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84F08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B16AD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007874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0BDCE15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3BCC14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B50C8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51DE1F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673721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5EBB0C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EF500CF" w14:textId="77777777" w:rsidTr="00BF4B86">
        <w:trPr>
          <w:trHeight w:val="326"/>
        </w:trPr>
        <w:tc>
          <w:tcPr>
            <w:tcW w:w="2520" w:type="dxa"/>
            <w:shd w:val="clear" w:color="auto" w:fill="FFFFFF" w:themeFill="background1"/>
          </w:tcPr>
          <w:p w14:paraId="3AD7579C"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Alhalal</w:t>
            </w:r>
            <w:proofErr w:type="spellEnd"/>
            <w:r w:rsidRPr="00CD2F5C">
              <w:rPr>
                <w:rFonts w:ascii="Cambria" w:hAnsi="Cambria"/>
                <w:sz w:val="24"/>
                <w:szCs w:val="24"/>
              </w:rPr>
              <w:t xml:space="preserve"> et al. 2018</w:t>
            </w:r>
          </w:p>
        </w:tc>
        <w:tc>
          <w:tcPr>
            <w:tcW w:w="1080" w:type="dxa"/>
            <w:shd w:val="clear" w:color="auto" w:fill="FFFFFF" w:themeFill="background1"/>
          </w:tcPr>
          <w:p w14:paraId="7248C71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shd w:val="clear" w:color="auto" w:fill="FFFFFF" w:themeFill="background1"/>
          </w:tcPr>
          <w:p w14:paraId="6D0BED1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shd w:val="clear" w:color="auto" w:fill="FFFFFF" w:themeFill="background1"/>
          </w:tcPr>
          <w:p w14:paraId="7D937CD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shd w:val="clear" w:color="auto" w:fill="FFFFFF" w:themeFill="background1"/>
          </w:tcPr>
          <w:p w14:paraId="1E2A580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shd w:val="clear" w:color="auto" w:fill="FFFFFF" w:themeFill="background1"/>
          </w:tcPr>
          <w:p w14:paraId="5980808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shd w:val="clear" w:color="auto" w:fill="FFFFFF" w:themeFill="background1"/>
          </w:tcPr>
          <w:p w14:paraId="31CF8F6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shd w:val="clear" w:color="auto" w:fill="FFFFFF" w:themeFill="background1"/>
          </w:tcPr>
          <w:p w14:paraId="02BD9D3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shd w:val="clear" w:color="auto" w:fill="FFFFFF" w:themeFill="background1"/>
          </w:tcPr>
          <w:p w14:paraId="3F451A4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shd w:val="clear" w:color="auto" w:fill="FFFFFF" w:themeFill="background1"/>
          </w:tcPr>
          <w:p w14:paraId="590ED5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shd w:val="clear" w:color="auto" w:fill="FFFFFF" w:themeFill="background1"/>
          </w:tcPr>
          <w:p w14:paraId="2916764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shd w:val="clear" w:color="auto" w:fill="FFFFFF" w:themeFill="background1"/>
          </w:tcPr>
          <w:p w14:paraId="5DC4265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shd w:val="clear" w:color="auto" w:fill="FFFFFF" w:themeFill="background1"/>
          </w:tcPr>
          <w:p w14:paraId="490063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r>
      <w:tr w:rsidR="007B26A4" w:rsidRPr="00CD2F5C" w14:paraId="24BBEEFD" w14:textId="77777777" w:rsidTr="00BF4B86">
        <w:trPr>
          <w:trHeight w:val="339"/>
        </w:trPr>
        <w:tc>
          <w:tcPr>
            <w:tcW w:w="2520" w:type="dxa"/>
          </w:tcPr>
          <w:p w14:paraId="082CD59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Almeida et al. 2012</w:t>
            </w:r>
          </w:p>
        </w:tc>
        <w:tc>
          <w:tcPr>
            <w:tcW w:w="1080" w:type="dxa"/>
          </w:tcPr>
          <w:p w14:paraId="3B0B249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587EF8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AFBED3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DC96B5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328DB0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1685CC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BBB72E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1345F3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13488A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76B752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07AA7D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4C84FBC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18C1E8D8" w14:textId="77777777" w:rsidTr="00BF4B86">
        <w:trPr>
          <w:trHeight w:val="339"/>
        </w:trPr>
        <w:tc>
          <w:tcPr>
            <w:tcW w:w="2520" w:type="dxa"/>
          </w:tcPr>
          <w:p w14:paraId="58CC36C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Alonso et al. 2011</w:t>
            </w:r>
          </w:p>
        </w:tc>
        <w:tc>
          <w:tcPr>
            <w:tcW w:w="1080" w:type="dxa"/>
          </w:tcPr>
          <w:p w14:paraId="2D5D519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01018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9BD4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2A0D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D5BF77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0C32A5D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E10253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C712E4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D0894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D3252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E8DB7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540" w:type="dxa"/>
          </w:tcPr>
          <w:p w14:paraId="7DC20EE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26F64CF" w14:textId="77777777" w:rsidTr="00BF4B86">
        <w:trPr>
          <w:trHeight w:val="339"/>
        </w:trPr>
        <w:tc>
          <w:tcPr>
            <w:tcW w:w="2520" w:type="dxa"/>
          </w:tcPr>
          <w:p w14:paraId="620E59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Amone-</w:t>
            </w:r>
            <w:proofErr w:type="spellStart"/>
            <w:r w:rsidRPr="00CD2F5C">
              <w:rPr>
                <w:rFonts w:ascii="Cambria" w:hAnsi="Cambria"/>
                <w:sz w:val="24"/>
                <w:szCs w:val="24"/>
              </w:rPr>
              <w:t>P’Olak</w:t>
            </w:r>
            <w:proofErr w:type="spellEnd"/>
            <w:r w:rsidRPr="00CD2F5C">
              <w:rPr>
                <w:rFonts w:ascii="Cambria" w:hAnsi="Cambria"/>
                <w:sz w:val="24"/>
                <w:szCs w:val="24"/>
              </w:rPr>
              <w:t xml:space="preserve"> et al. 2015</w:t>
            </w:r>
          </w:p>
        </w:tc>
        <w:tc>
          <w:tcPr>
            <w:tcW w:w="1080" w:type="dxa"/>
          </w:tcPr>
          <w:p w14:paraId="5B9D6A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10ED5E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1300D5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B7C1B4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32EF21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B0B50B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C25A62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B63D5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011A72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04671C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3987239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06CA12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643A22B9" w14:textId="77777777" w:rsidTr="00BF4B86">
        <w:trPr>
          <w:trHeight w:val="339"/>
        </w:trPr>
        <w:tc>
          <w:tcPr>
            <w:tcW w:w="2520" w:type="dxa"/>
          </w:tcPr>
          <w:p w14:paraId="767B14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Bayram et al. 2014</w:t>
            </w:r>
          </w:p>
        </w:tc>
        <w:tc>
          <w:tcPr>
            <w:tcW w:w="1080" w:type="dxa"/>
          </w:tcPr>
          <w:p w14:paraId="6ACFECF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5C1A84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16268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744E2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18AFE8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F74CCE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EE6A1C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0D9F9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534882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B57C92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21CCFB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FEA227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r>
      <w:tr w:rsidR="007B26A4" w:rsidRPr="00CD2F5C" w14:paraId="72AA7F65" w14:textId="77777777" w:rsidTr="00BF4B86">
        <w:trPr>
          <w:trHeight w:val="339"/>
        </w:trPr>
        <w:tc>
          <w:tcPr>
            <w:tcW w:w="2520" w:type="dxa"/>
          </w:tcPr>
          <w:p w14:paraId="25530314"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Benseñor</w:t>
            </w:r>
            <w:proofErr w:type="spellEnd"/>
            <w:r w:rsidRPr="00CD2F5C">
              <w:rPr>
                <w:rFonts w:ascii="Cambria" w:hAnsi="Cambria"/>
                <w:sz w:val="24"/>
                <w:szCs w:val="24"/>
              </w:rPr>
              <w:t xml:space="preserve"> et al. 2003</w:t>
            </w:r>
          </w:p>
        </w:tc>
        <w:tc>
          <w:tcPr>
            <w:tcW w:w="1080" w:type="dxa"/>
          </w:tcPr>
          <w:p w14:paraId="7CA9D10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9C4232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485588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AA1DF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F15798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5E2EC0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D85C22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F7624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260C77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5D0CD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366AE31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D975BD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7B6B04C" w14:textId="77777777" w:rsidTr="00BF4B86">
        <w:trPr>
          <w:trHeight w:val="339"/>
        </w:trPr>
        <w:tc>
          <w:tcPr>
            <w:tcW w:w="2520" w:type="dxa"/>
          </w:tcPr>
          <w:p w14:paraId="11E64C6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Brennenstuhl &amp;Fuller-Thomson 2015</w:t>
            </w:r>
          </w:p>
        </w:tc>
        <w:tc>
          <w:tcPr>
            <w:tcW w:w="1080" w:type="dxa"/>
          </w:tcPr>
          <w:p w14:paraId="4B0E48C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E0A3A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982967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1D4533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98A21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33328C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CAF290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6C53B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777F96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0A8CD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6D7C7E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F1BC73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C677EDF" w14:textId="77777777" w:rsidTr="00BF4B86">
        <w:trPr>
          <w:trHeight w:val="339"/>
        </w:trPr>
        <w:tc>
          <w:tcPr>
            <w:tcW w:w="2520" w:type="dxa"/>
          </w:tcPr>
          <w:p w14:paraId="76961E3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Brown et al. 2018</w:t>
            </w:r>
          </w:p>
        </w:tc>
        <w:tc>
          <w:tcPr>
            <w:tcW w:w="1080" w:type="dxa"/>
          </w:tcPr>
          <w:p w14:paraId="7812E0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7432B7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6E63DA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9D7307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F6A28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6A2B0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A615F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4A22BE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C7BF64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AA3805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D80850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767CCA3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4745D6A3" w14:textId="77777777" w:rsidTr="00BF4B86">
        <w:trPr>
          <w:trHeight w:val="339"/>
        </w:trPr>
        <w:tc>
          <w:tcPr>
            <w:tcW w:w="2520" w:type="dxa"/>
          </w:tcPr>
          <w:p w14:paraId="197AFC7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Buist et al. 2011</w:t>
            </w:r>
          </w:p>
        </w:tc>
        <w:tc>
          <w:tcPr>
            <w:tcW w:w="1080" w:type="dxa"/>
          </w:tcPr>
          <w:p w14:paraId="1E3437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449990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6809AE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EC459D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DB6EAC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D5A19E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49FA60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BB22E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DA8B5E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C57CAF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4F115FF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89C17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2454ECF" w14:textId="77777777" w:rsidTr="00BF4B86">
        <w:trPr>
          <w:trHeight w:val="339"/>
        </w:trPr>
        <w:tc>
          <w:tcPr>
            <w:tcW w:w="2520" w:type="dxa"/>
          </w:tcPr>
          <w:p w14:paraId="5D48164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Caravaca-Sánchez et al. 2019</w:t>
            </w:r>
          </w:p>
        </w:tc>
        <w:tc>
          <w:tcPr>
            <w:tcW w:w="1080" w:type="dxa"/>
          </w:tcPr>
          <w:p w14:paraId="318BDE0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DD0FDB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5A2538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F6A8F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623077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8E18A2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F7D45D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3EE37B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4DCD1E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66E7ED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4805B13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1D6D398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B66F445" w14:textId="77777777" w:rsidTr="00BF4B86">
        <w:trPr>
          <w:trHeight w:val="339"/>
        </w:trPr>
        <w:tc>
          <w:tcPr>
            <w:tcW w:w="2520" w:type="dxa"/>
          </w:tcPr>
          <w:p w14:paraId="37ED0F5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Carpenter et al. 2012</w:t>
            </w:r>
          </w:p>
        </w:tc>
        <w:tc>
          <w:tcPr>
            <w:tcW w:w="1080" w:type="dxa"/>
          </w:tcPr>
          <w:p w14:paraId="1C72B3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7579B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6FDF71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7FD73B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14C1FA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0066EE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7DF7F1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41ACB0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2EBAC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64809E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4B0051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FBF5D3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9B5BD1D" w14:textId="77777777" w:rsidTr="00BF4B86">
        <w:trPr>
          <w:trHeight w:val="339"/>
        </w:trPr>
        <w:tc>
          <w:tcPr>
            <w:tcW w:w="2520" w:type="dxa"/>
          </w:tcPr>
          <w:p w14:paraId="37B5E2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Chiu et al. 2017</w:t>
            </w:r>
          </w:p>
        </w:tc>
        <w:tc>
          <w:tcPr>
            <w:tcW w:w="1080" w:type="dxa"/>
          </w:tcPr>
          <w:p w14:paraId="57B5430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FD87F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F9DD21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9287F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477CC8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2ED314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08938E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B58DF4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B7A1C6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69F85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0D3B4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BB1F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CEC8E13" w14:textId="77777777" w:rsidTr="00BF4B86">
        <w:trPr>
          <w:trHeight w:val="339"/>
        </w:trPr>
        <w:tc>
          <w:tcPr>
            <w:tcW w:w="2520" w:type="dxa"/>
          </w:tcPr>
          <w:p w14:paraId="1C24BC0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Coles et al. 2015</w:t>
            </w:r>
          </w:p>
        </w:tc>
        <w:tc>
          <w:tcPr>
            <w:tcW w:w="1080" w:type="dxa"/>
          </w:tcPr>
          <w:p w14:paraId="484F399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261C4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BCD8F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80F5FD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0DC4DF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EA8B4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0910726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702844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69A93D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32610A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2659619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E02651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67395765" w14:textId="77777777" w:rsidTr="00BF4B86">
        <w:trPr>
          <w:trHeight w:val="339"/>
        </w:trPr>
        <w:tc>
          <w:tcPr>
            <w:tcW w:w="2520" w:type="dxa"/>
          </w:tcPr>
          <w:p w14:paraId="2A1358A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Corsini-Munt et al. 2017</w:t>
            </w:r>
          </w:p>
        </w:tc>
        <w:tc>
          <w:tcPr>
            <w:tcW w:w="1080" w:type="dxa"/>
          </w:tcPr>
          <w:p w14:paraId="433BD7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9BEA0D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12E82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0497E0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753D1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2B4A38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6F3091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4B0083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038693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F2A56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6586EE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9A417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A194A32" w14:textId="77777777" w:rsidTr="00BF4B86">
        <w:trPr>
          <w:trHeight w:val="339"/>
        </w:trPr>
        <w:tc>
          <w:tcPr>
            <w:tcW w:w="2520" w:type="dxa"/>
          </w:tcPr>
          <w:p w14:paraId="1DDA9BA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Cougle et al. 2010</w:t>
            </w:r>
          </w:p>
        </w:tc>
        <w:tc>
          <w:tcPr>
            <w:tcW w:w="1080" w:type="dxa"/>
          </w:tcPr>
          <w:p w14:paraId="669226F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FEDAEA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C51AC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45002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C6A7DC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C679D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DFFBA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69C2FD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0E4006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5EF68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C905E3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097C216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09D0117" w14:textId="77777777" w:rsidTr="00BF4B86">
        <w:trPr>
          <w:trHeight w:val="339"/>
        </w:trPr>
        <w:tc>
          <w:tcPr>
            <w:tcW w:w="2520" w:type="dxa"/>
          </w:tcPr>
          <w:p w14:paraId="374056B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Craner &amp; Lake 2021</w:t>
            </w:r>
          </w:p>
        </w:tc>
        <w:tc>
          <w:tcPr>
            <w:tcW w:w="1080" w:type="dxa"/>
          </w:tcPr>
          <w:p w14:paraId="3A4AF8A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932008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E4AF71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CF4E7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A582BD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396835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038745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0D43D7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946F4D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22BCA8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50653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4EABD1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A1A9DF7" w14:textId="77777777" w:rsidTr="00BF4B86">
        <w:trPr>
          <w:trHeight w:val="339"/>
        </w:trPr>
        <w:tc>
          <w:tcPr>
            <w:tcW w:w="2520" w:type="dxa"/>
          </w:tcPr>
          <w:p w14:paraId="123F91B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De Roa et al. 2018</w:t>
            </w:r>
          </w:p>
        </w:tc>
        <w:tc>
          <w:tcPr>
            <w:tcW w:w="1080" w:type="dxa"/>
          </w:tcPr>
          <w:p w14:paraId="2BC6FD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BF0D7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1828A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7F93C0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F80829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01E3DD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337EF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3E9D0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BDEF17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2E32A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2FED742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540" w:type="dxa"/>
          </w:tcPr>
          <w:p w14:paraId="438ED8A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461BA3D4" w14:textId="77777777" w:rsidTr="00BF4B86">
        <w:trPr>
          <w:trHeight w:val="339"/>
        </w:trPr>
        <w:tc>
          <w:tcPr>
            <w:tcW w:w="2520" w:type="dxa"/>
          </w:tcPr>
          <w:p w14:paraId="4A2AED0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Dennis et al. 2019</w:t>
            </w:r>
          </w:p>
        </w:tc>
        <w:tc>
          <w:tcPr>
            <w:tcW w:w="1080" w:type="dxa"/>
          </w:tcPr>
          <w:p w14:paraId="6BD375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A52F21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B1EBDF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56A837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1243860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3790A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583F40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234D5A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450" w:type="dxa"/>
          </w:tcPr>
          <w:p w14:paraId="3FF55B3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2B8DD8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4917ED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5FD00F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49237143" w14:textId="77777777" w:rsidTr="00BF4B86">
        <w:trPr>
          <w:trHeight w:val="339"/>
        </w:trPr>
        <w:tc>
          <w:tcPr>
            <w:tcW w:w="2520" w:type="dxa"/>
          </w:tcPr>
          <w:p w14:paraId="2D68E58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Drukker et al. 2020</w:t>
            </w:r>
          </w:p>
        </w:tc>
        <w:tc>
          <w:tcPr>
            <w:tcW w:w="1080" w:type="dxa"/>
          </w:tcPr>
          <w:p w14:paraId="2C39C9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FE897F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1AFB4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B25D79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5CD643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389BAF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5D75A3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1ADF0A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8F672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182B48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5E540A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27062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971009F" w14:textId="77777777" w:rsidTr="00BF4B86">
        <w:trPr>
          <w:trHeight w:val="339"/>
        </w:trPr>
        <w:tc>
          <w:tcPr>
            <w:tcW w:w="2520" w:type="dxa"/>
          </w:tcPr>
          <w:p w14:paraId="6FBCFD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Fowler et al. 2020</w:t>
            </w:r>
          </w:p>
        </w:tc>
        <w:tc>
          <w:tcPr>
            <w:tcW w:w="1080" w:type="dxa"/>
          </w:tcPr>
          <w:p w14:paraId="40578E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9F120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26672D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F4FF12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8E4341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5AF7A6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7F67FC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691CDE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294656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20284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5A972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09CC65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4062809" w14:textId="77777777" w:rsidTr="00BF4B86">
        <w:trPr>
          <w:trHeight w:val="339"/>
        </w:trPr>
        <w:tc>
          <w:tcPr>
            <w:tcW w:w="2520" w:type="dxa"/>
          </w:tcPr>
          <w:p w14:paraId="4F319C8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Fuller-Thomson et al. 2010</w:t>
            </w:r>
          </w:p>
        </w:tc>
        <w:tc>
          <w:tcPr>
            <w:tcW w:w="1080" w:type="dxa"/>
          </w:tcPr>
          <w:p w14:paraId="3D4E5C1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2303D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FBC816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DBC2F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76F44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2B3715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910EB0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914669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EB1B2C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223A3E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C52BB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CF73DA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15520AE" w14:textId="77777777" w:rsidTr="00BF4B86">
        <w:trPr>
          <w:trHeight w:val="339"/>
        </w:trPr>
        <w:tc>
          <w:tcPr>
            <w:tcW w:w="2520" w:type="dxa"/>
          </w:tcPr>
          <w:p w14:paraId="7B3AA35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Fuller-Thomson et al. 2015</w:t>
            </w:r>
          </w:p>
        </w:tc>
        <w:tc>
          <w:tcPr>
            <w:tcW w:w="1080" w:type="dxa"/>
          </w:tcPr>
          <w:p w14:paraId="1399BBD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BC8029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31852B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72B0E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9D734C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010F46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57C4CF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CA243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7FBCBA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73" w:type="dxa"/>
          </w:tcPr>
          <w:p w14:paraId="51C02C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466773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9F75A6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6A844B7D" w14:textId="77777777" w:rsidTr="00BF4B86">
        <w:trPr>
          <w:trHeight w:val="339"/>
        </w:trPr>
        <w:tc>
          <w:tcPr>
            <w:tcW w:w="2520" w:type="dxa"/>
          </w:tcPr>
          <w:p w14:paraId="59D36A4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Fuller-Thomson et al. 2016</w:t>
            </w:r>
          </w:p>
        </w:tc>
        <w:tc>
          <w:tcPr>
            <w:tcW w:w="1080" w:type="dxa"/>
          </w:tcPr>
          <w:p w14:paraId="1EA1396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A23F7D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0E6C6C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064561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447D17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23B16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FEE15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BCAC33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CAEEFD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E33D80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5F47FE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FDBB3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3F95A6F" w14:textId="77777777" w:rsidTr="00BF4B86">
        <w:trPr>
          <w:trHeight w:val="339"/>
        </w:trPr>
        <w:tc>
          <w:tcPr>
            <w:tcW w:w="2520" w:type="dxa"/>
          </w:tcPr>
          <w:p w14:paraId="7050F2BE"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Generaal</w:t>
            </w:r>
            <w:proofErr w:type="spellEnd"/>
            <w:r w:rsidRPr="00CD2F5C">
              <w:rPr>
                <w:rFonts w:ascii="Cambria" w:hAnsi="Cambria"/>
                <w:sz w:val="24"/>
                <w:szCs w:val="24"/>
              </w:rPr>
              <w:t xml:space="preserve"> et al. 2016</w:t>
            </w:r>
          </w:p>
        </w:tc>
        <w:tc>
          <w:tcPr>
            <w:tcW w:w="1080" w:type="dxa"/>
          </w:tcPr>
          <w:p w14:paraId="6C7D584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FB0CC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CA9C35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7B707E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3B68D4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D56690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7073C8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BA905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E3ECAB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9F304A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B073DE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540" w:type="dxa"/>
          </w:tcPr>
          <w:p w14:paraId="0FDEDE0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02DAF9D6" w14:textId="77777777" w:rsidTr="00BF4B86">
        <w:trPr>
          <w:trHeight w:val="339"/>
        </w:trPr>
        <w:tc>
          <w:tcPr>
            <w:tcW w:w="2520" w:type="dxa"/>
          </w:tcPr>
          <w:p w14:paraId="400F39A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Golde et al. 2020</w:t>
            </w:r>
          </w:p>
        </w:tc>
        <w:tc>
          <w:tcPr>
            <w:tcW w:w="1080" w:type="dxa"/>
          </w:tcPr>
          <w:p w14:paraId="23229F2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240172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FC3E17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8AC9C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0FA9DA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97EDA2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283AC6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07A12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61F219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357C93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9CE068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4FDD96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62FD5E8" w14:textId="77777777" w:rsidTr="00BF4B86">
        <w:trPr>
          <w:trHeight w:val="339"/>
        </w:trPr>
        <w:tc>
          <w:tcPr>
            <w:tcW w:w="2520" w:type="dxa"/>
          </w:tcPr>
          <w:p w14:paraId="25AF4AA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Green et al. 2001</w:t>
            </w:r>
          </w:p>
        </w:tc>
        <w:tc>
          <w:tcPr>
            <w:tcW w:w="1080" w:type="dxa"/>
          </w:tcPr>
          <w:p w14:paraId="50CECBB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86947E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9F8336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1D898A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D65659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5F7DFD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15266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130A6C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27B4D8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F5A0C1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C8E6B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540" w:type="dxa"/>
          </w:tcPr>
          <w:p w14:paraId="3ED03FE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14A3B46B" w14:textId="77777777" w:rsidTr="00BF4B86">
        <w:trPr>
          <w:trHeight w:val="339"/>
        </w:trPr>
        <w:tc>
          <w:tcPr>
            <w:tcW w:w="2520" w:type="dxa"/>
          </w:tcPr>
          <w:p w14:paraId="042E1B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Hart-Johnson &amp; Green, 2012</w:t>
            </w:r>
          </w:p>
        </w:tc>
        <w:tc>
          <w:tcPr>
            <w:tcW w:w="1080" w:type="dxa"/>
          </w:tcPr>
          <w:p w14:paraId="77DFA90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A6519E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39EDBE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067F1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A31D6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2AAEC9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2243AC0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92B91E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788894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C07648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2A7581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8EA6EA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r>
      <w:tr w:rsidR="007B26A4" w:rsidRPr="00CD2F5C" w14:paraId="002A91B1" w14:textId="77777777" w:rsidTr="00BF4B86">
        <w:trPr>
          <w:trHeight w:val="339"/>
        </w:trPr>
        <w:tc>
          <w:tcPr>
            <w:tcW w:w="2520" w:type="dxa"/>
          </w:tcPr>
          <w:p w14:paraId="674D25BD"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Hellou</w:t>
            </w:r>
            <w:proofErr w:type="spellEnd"/>
            <w:r w:rsidRPr="00CD2F5C">
              <w:rPr>
                <w:rFonts w:ascii="Cambria" w:hAnsi="Cambria"/>
                <w:sz w:val="24"/>
                <w:szCs w:val="24"/>
              </w:rPr>
              <w:t xml:space="preserve"> et al. 2017</w:t>
            </w:r>
          </w:p>
        </w:tc>
        <w:tc>
          <w:tcPr>
            <w:tcW w:w="1080" w:type="dxa"/>
          </w:tcPr>
          <w:p w14:paraId="15ADBEB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5796FE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EC5F3F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B2C18E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5C514A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4B68C3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A2DADE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575A99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DF91A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884C18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800EF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701EE9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AB8D49A" w14:textId="77777777" w:rsidTr="00BF4B86">
        <w:trPr>
          <w:trHeight w:val="339"/>
        </w:trPr>
        <w:tc>
          <w:tcPr>
            <w:tcW w:w="2520" w:type="dxa"/>
          </w:tcPr>
          <w:p w14:paraId="7C23D2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Hughes et al. 2016</w:t>
            </w:r>
          </w:p>
        </w:tc>
        <w:tc>
          <w:tcPr>
            <w:tcW w:w="1080" w:type="dxa"/>
          </w:tcPr>
          <w:p w14:paraId="054875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7C7CC6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6FA752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16DF15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1CFDC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E5AB5B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8FA8DA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F199E9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4E57C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2DB2BE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1D3072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6B862F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180455D4" w14:textId="77777777" w:rsidTr="00BF4B86">
        <w:trPr>
          <w:trHeight w:val="339"/>
        </w:trPr>
        <w:tc>
          <w:tcPr>
            <w:tcW w:w="2520" w:type="dxa"/>
          </w:tcPr>
          <w:p w14:paraId="2FC0E6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Jones et al. 2009</w:t>
            </w:r>
          </w:p>
        </w:tc>
        <w:tc>
          <w:tcPr>
            <w:tcW w:w="1080" w:type="dxa"/>
          </w:tcPr>
          <w:p w14:paraId="166A90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12F38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B94DF5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9486DA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AA3C5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27DEDEC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C1584B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090FCB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53C57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6FFDF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11FE88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028605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D139516" w14:textId="77777777" w:rsidTr="00BF4B86">
        <w:trPr>
          <w:trHeight w:val="339"/>
        </w:trPr>
        <w:tc>
          <w:tcPr>
            <w:tcW w:w="2520" w:type="dxa"/>
          </w:tcPr>
          <w:p w14:paraId="795D5B4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Kamiya et al. 2016</w:t>
            </w:r>
          </w:p>
        </w:tc>
        <w:tc>
          <w:tcPr>
            <w:tcW w:w="1080" w:type="dxa"/>
          </w:tcPr>
          <w:p w14:paraId="0D8405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CCDC4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CF1AFA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EED153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8533C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C50D7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47B22B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2EF682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57A5C7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239BD4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0C1E75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78038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5CBD85AA" w14:textId="77777777" w:rsidTr="00BF4B86">
        <w:trPr>
          <w:trHeight w:val="339"/>
        </w:trPr>
        <w:tc>
          <w:tcPr>
            <w:tcW w:w="2520" w:type="dxa"/>
          </w:tcPr>
          <w:p w14:paraId="534B5C69"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Kascakova</w:t>
            </w:r>
            <w:proofErr w:type="spellEnd"/>
            <w:r w:rsidRPr="00CD2F5C">
              <w:rPr>
                <w:rFonts w:ascii="Cambria" w:hAnsi="Cambria"/>
                <w:sz w:val="24"/>
                <w:szCs w:val="24"/>
              </w:rPr>
              <w:t xml:space="preserve"> et al. 2020</w:t>
            </w:r>
          </w:p>
        </w:tc>
        <w:tc>
          <w:tcPr>
            <w:tcW w:w="1080" w:type="dxa"/>
          </w:tcPr>
          <w:p w14:paraId="0D2505C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05C8B9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65402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C5B1FD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EE2394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77BB2F8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631B41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7B86E1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964B55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73" w:type="dxa"/>
          </w:tcPr>
          <w:p w14:paraId="578E631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0C7B321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6D3D1E3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9B0078F" w14:textId="77777777" w:rsidTr="00BF4B86">
        <w:trPr>
          <w:trHeight w:val="339"/>
        </w:trPr>
        <w:tc>
          <w:tcPr>
            <w:tcW w:w="2520" w:type="dxa"/>
          </w:tcPr>
          <w:p w14:paraId="6DBDA87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Kelly et al. 2011</w:t>
            </w:r>
          </w:p>
        </w:tc>
        <w:tc>
          <w:tcPr>
            <w:tcW w:w="1080" w:type="dxa"/>
          </w:tcPr>
          <w:p w14:paraId="1FF5CC8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3B4407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51A04E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239D19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F29EA3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60A21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DC58A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698E9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2902D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0389C2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6CB903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1A682DC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A3EFBC3" w14:textId="77777777" w:rsidTr="00BF4B86">
        <w:trPr>
          <w:trHeight w:val="339"/>
        </w:trPr>
        <w:tc>
          <w:tcPr>
            <w:tcW w:w="2520" w:type="dxa"/>
          </w:tcPr>
          <w:p w14:paraId="611EB8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Korkmaz et al. 2020</w:t>
            </w:r>
          </w:p>
        </w:tc>
        <w:tc>
          <w:tcPr>
            <w:tcW w:w="1080" w:type="dxa"/>
          </w:tcPr>
          <w:p w14:paraId="72A0561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C145B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3F4A9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C19852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A15F77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7C389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377B04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1B29B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C01028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DC9F64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7F95BA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3E047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588200D" w14:textId="77777777" w:rsidTr="00BF4B86">
        <w:trPr>
          <w:trHeight w:val="339"/>
        </w:trPr>
        <w:tc>
          <w:tcPr>
            <w:tcW w:w="2520" w:type="dxa"/>
          </w:tcPr>
          <w:p w14:paraId="6D4D453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Kovacs et al. 2016</w:t>
            </w:r>
          </w:p>
        </w:tc>
        <w:tc>
          <w:tcPr>
            <w:tcW w:w="1080" w:type="dxa"/>
          </w:tcPr>
          <w:p w14:paraId="48649B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6BA056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96F0D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461E3F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A7423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0491F10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DD804B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339A74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5D38E6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00A30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202C59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F630A2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B8CBDBD" w14:textId="77777777" w:rsidTr="00BF4B86">
        <w:trPr>
          <w:trHeight w:val="339"/>
        </w:trPr>
        <w:tc>
          <w:tcPr>
            <w:tcW w:w="2520" w:type="dxa"/>
          </w:tcPr>
          <w:p w14:paraId="424275E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Krantz et al. 2019</w:t>
            </w:r>
          </w:p>
        </w:tc>
        <w:tc>
          <w:tcPr>
            <w:tcW w:w="1080" w:type="dxa"/>
          </w:tcPr>
          <w:p w14:paraId="0AB2F1D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DF3CE4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D3D03C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8C6096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062E1A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C76759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78AF49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8D6BFB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185AE6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080F7A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0EAA28D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0ECE7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A64E190" w14:textId="77777777" w:rsidTr="00BF4B86">
        <w:trPr>
          <w:trHeight w:val="339"/>
        </w:trPr>
        <w:tc>
          <w:tcPr>
            <w:tcW w:w="2520" w:type="dxa"/>
          </w:tcPr>
          <w:p w14:paraId="3157B3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Lai et al. 2016</w:t>
            </w:r>
          </w:p>
        </w:tc>
        <w:tc>
          <w:tcPr>
            <w:tcW w:w="1080" w:type="dxa"/>
          </w:tcPr>
          <w:p w14:paraId="0C903BC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4514DE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E267B4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553020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C8237E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AA6DB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E4D129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DCFD16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8A1111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61993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E47B6E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041765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D6E5D3C" w14:textId="77777777" w:rsidTr="00BF4B86">
        <w:trPr>
          <w:trHeight w:val="339"/>
        </w:trPr>
        <w:tc>
          <w:tcPr>
            <w:tcW w:w="2520" w:type="dxa"/>
          </w:tcPr>
          <w:p w14:paraId="5B2E068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Landa et al. 2020</w:t>
            </w:r>
          </w:p>
        </w:tc>
        <w:tc>
          <w:tcPr>
            <w:tcW w:w="1080" w:type="dxa"/>
          </w:tcPr>
          <w:p w14:paraId="0FBCA81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388F4F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82A583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B86D71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F6BED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B04E38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599713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A98DCE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55EDA1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2E268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2D841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D4439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6CA7EA18" w14:textId="77777777" w:rsidTr="00BF4B86">
        <w:trPr>
          <w:trHeight w:val="339"/>
        </w:trPr>
        <w:tc>
          <w:tcPr>
            <w:tcW w:w="2520" w:type="dxa"/>
          </w:tcPr>
          <w:p w14:paraId="6DFBAC79"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Lazary</w:t>
            </w:r>
            <w:proofErr w:type="spellEnd"/>
            <w:r w:rsidRPr="00CD2F5C">
              <w:rPr>
                <w:rFonts w:ascii="Cambria" w:hAnsi="Cambria"/>
                <w:sz w:val="24"/>
                <w:szCs w:val="24"/>
              </w:rPr>
              <w:t xml:space="preserve"> et al. 2016</w:t>
            </w:r>
          </w:p>
        </w:tc>
        <w:tc>
          <w:tcPr>
            <w:tcW w:w="1080" w:type="dxa"/>
          </w:tcPr>
          <w:p w14:paraId="6B148A7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E105E9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50936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D8BD4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875150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EB410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CF718D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E81D3C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5A6CFB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B7C59F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517" w:type="dxa"/>
          </w:tcPr>
          <w:p w14:paraId="2C93CCB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D226C7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63CAAD7" w14:textId="77777777" w:rsidTr="00BF4B86">
        <w:trPr>
          <w:trHeight w:val="339"/>
        </w:trPr>
        <w:tc>
          <w:tcPr>
            <w:tcW w:w="2520" w:type="dxa"/>
          </w:tcPr>
          <w:p w14:paraId="00CC84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Lee et al. 2009</w:t>
            </w:r>
          </w:p>
        </w:tc>
        <w:tc>
          <w:tcPr>
            <w:tcW w:w="1080" w:type="dxa"/>
          </w:tcPr>
          <w:p w14:paraId="4113078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213B03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85AFB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58083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E39FBA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1776DF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DC256B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385E7D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31B63B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CCD4A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AA4AE4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4ABF416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2EC89B2" w14:textId="77777777" w:rsidTr="00BF4B86">
        <w:trPr>
          <w:trHeight w:val="339"/>
        </w:trPr>
        <w:tc>
          <w:tcPr>
            <w:tcW w:w="2520" w:type="dxa"/>
          </w:tcPr>
          <w:p w14:paraId="0072CA3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Leisner et al. 2014</w:t>
            </w:r>
          </w:p>
        </w:tc>
        <w:tc>
          <w:tcPr>
            <w:tcW w:w="1080" w:type="dxa"/>
          </w:tcPr>
          <w:p w14:paraId="4EC40D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242DA1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9B5C06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CA4238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FF333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00AB5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5F1059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A6FF4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402D3D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B86EC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23B1A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1063778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5089369" w14:textId="77777777" w:rsidTr="00BF4B86">
        <w:trPr>
          <w:trHeight w:val="339"/>
        </w:trPr>
        <w:tc>
          <w:tcPr>
            <w:tcW w:w="2520" w:type="dxa"/>
          </w:tcPr>
          <w:p w14:paraId="576B58D7"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Loevinger</w:t>
            </w:r>
            <w:proofErr w:type="spellEnd"/>
            <w:r w:rsidRPr="00CD2F5C">
              <w:rPr>
                <w:rFonts w:ascii="Cambria" w:hAnsi="Cambria"/>
                <w:sz w:val="24"/>
                <w:szCs w:val="24"/>
              </w:rPr>
              <w:t xml:space="preserve"> et al. 2012</w:t>
            </w:r>
          </w:p>
        </w:tc>
        <w:tc>
          <w:tcPr>
            <w:tcW w:w="1080" w:type="dxa"/>
          </w:tcPr>
          <w:p w14:paraId="4C3C0E8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705B2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0A5413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EC399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0EC1CD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7D1BB3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AB6D43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2F73C6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1D45A9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AA4F8C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5E99A0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DC7CC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18B4FDDA" w14:textId="77777777" w:rsidTr="00BF4B86">
        <w:trPr>
          <w:trHeight w:val="339"/>
        </w:trPr>
        <w:tc>
          <w:tcPr>
            <w:tcW w:w="2520" w:type="dxa"/>
          </w:tcPr>
          <w:p w14:paraId="650C132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Maatta et al. 2019</w:t>
            </w:r>
          </w:p>
        </w:tc>
        <w:tc>
          <w:tcPr>
            <w:tcW w:w="1080" w:type="dxa"/>
          </w:tcPr>
          <w:p w14:paraId="1B47FB0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3758A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F45326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CAC91D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3646DF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DBED7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7632637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61EDF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983CE3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08BF87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4C8B6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31571A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287E265" w14:textId="77777777" w:rsidTr="00BF4B86">
        <w:trPr>
          <w:trHeight w:val="339"/>
        </w:trPr>
        <w:tc>
          <w:tcPr>
            <w:tcW w:w="2520" w:type="dxa"/>
          </w:tcPr>
          <w:p w14:paraId="727B53A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Macedo et al. 2019</w:t>
            </w:r>
          </w:p>
        </w:tc>
        <w:tc>
          <w:tcPr>
            <w:tcW w:w="1080" w:type="dxa"/>
          </w:tcPr>
          <w:p w14:paraId="00454E7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DDFFD9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50FE22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D63835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DB1F7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F7DFA7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FFE2F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9B29E8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479875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54A52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F47F09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5E4B88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622494D1" w14:textId="77777777" w:rsidTr="00BF4B86">
        <w:trPr>
          <w:trHeight w:val="339"/>
        </w:trPr>
        <w:tc>
          <w:tcPr>
            <w:tcW w:w="2520" w:type="dxa"/>
          </w:tcPr>
          <w:p w14:paraId="2204FDE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Mall et al. 2015</w:t>
            </w:r>
          </w:p>
        </w:tc>
        <w:tc>
          <w:tcPr>
            <w:tcW w:w="1080" w:type="dxa"/>
          </w:tcPr>
          <w:p w14:paraId="348C7BA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C6F8FA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EE5D98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2D7A35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5A1B4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79DC8B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B29C2D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C255C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0594CA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CDF3D9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B4AEB9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540" w:type="dxa"/>
          </w:tcPr>
          <w:p w14:paraId="043E393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F529811" w14:textId="77777777" w:rsidTr="00BF4B86">
        <w:trPr>
          <w:trHeight w:val="339"/>
        </w:trPr>
        <w:tc>
          <w:tcPr>
            <w:tcW w:w="2520" w:type="dxa"/>
          </w:tcPr>
          <w:p w14:paraId="306E00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McCall-Hosenfeld et al. 2014</w:t>
            </w:r>
          </w:p>
        </w:tc>
        <w:tc>
          <w:tcPr>
            <w:tcW w:w="1080" w:type="dxa"/>
          </w:tcPr>
          <w:p w14:paraId="0715070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CBBBF6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A9E7A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62884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3B83259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14614D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899F6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58C1B9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B0BE5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26C36A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C7A3C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8682B5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532DA8A" w14:textId="77777777" w:rsidTr="00BF4B86">
        <w:trPr>
          <w:trHeight w:val="339"/>
        </w:trPr>
        <w:tc>
          <w:tcPr>
            <w:tcW w:w="2520" w:type="dxa"/>
          </w:tcPr>
          <w:p w14:paraId="2EA0B5B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McHugh et al. 2020</w:t>
            </w:r>
          </w:p>
        </w:tc>
        <w:tc>
          <w:tcPr>
            <w:tcW w:w="1080" w:type="dxa"/>
          </w:tcPr>
          <w:p w14:paraId="6667284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E80477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A4271C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212C4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50BC52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F96E77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B39D3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4712D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4DA42D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443C46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6D3163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B06F6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r>
      <w:tr w:rsidR="007B26A4" w:rsidRPr="00CD2F5C" w14:paraId="2C9F87E2" w14:textId="77777777" w:rsidTr="00BF4B86">
        <w:trPr>
          <w:trHeight w:val="339"/>
        </w:trPr>
        <w:tc>
          <w:tcPr>
            <w:tcW w:w="2520" w:type="dxa"/>
          </w:tcPr>
          <w:p w14:paraId="7AF6ABB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Mehta et al. 2017</w:t>
            </w:r>
          </w:p>
        </w:tc>
        <w:tc>
          <w:tcPr>
            <w:tcW w:w="1080" w:type="dxa"/>
          </w:tcPr>
          <w:p w14:paraId="64272FB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E5DCF2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FE0DEE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0D579D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8B1546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5FEC42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9B838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B50FE8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D41608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01FF81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517" w:type="dxa"/>
          </w:tcPr>
          <w:p w14:paraId="057CC81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F16113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60CC9FC8" w14:textId="77777777" w:rsidTr="00BF4B86">
        <w:trPr>
          <w:trHeight w:val="339"/>
        </w:trPr>
        <w:tc>
          <w:tcPr>
            <w:tcW w:w="2520" w:type="dxa"/>
          </w:tcPr>
          <w:p w14:paraId="7F2CAA36"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Merdler</w:t>
            </w:r>
            <w:proofErr w:type="spellEnd"/>
            <w:r w:rsidRPr="00CD2F5C">
              <w:rPr>
                <w:rFonts w:ascii="Cambria" w:hAnsi="Cambria"/>
                <w:sz w:val="24"/>
                <w:szCs w:val="24"/>
              </w:rPr>
              <w:t>-Rabinowicz et al. 2018</w:t>
            </w:r>
          </w:p>
        </w:tc>
        <w:tc>
          <w:tcPr>
            <w:tcW w:w="1080" w:type="dxa"/>
          </w:tcPr>
          <w:p w14:paraId="6F8AD3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BF0092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29CEF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9BAC8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443794E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357960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222F1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18CBC0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F16F5F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EE619B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C760C7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540" w:type="dxa"/>
          </w:tcPr>
          <w:p w14:paraId="77C878B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9A43722" w14:textId="77777777" w:rsidTr="00BF4B86">
        <w:trPr>
          <w:trHeight w:val="339"/>
        </w:trPr>
        <w:tc>
          <w:tcPr>
            <w:tcW w:w="2520" w:type="dxa"/>
          </w:tcPr>
          <w:p w14:paraId="251AB39E"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Nacak</w:t>
            </w:r>
            <w:proofErr w:type="spellEnd"/>
            <w:r w:rsidRPr="00CD2F5C">
              <w:rPr>
                <w:rFonts w:ascii="Cambria" w:hAnsi="Cambria"/>
                <w:sz w:val="24"/>
                <w:szCs w:val="24"/>
              </w:rPr>
              <w:t xml:space="preserve"> et al. 2017</w:t>
            </w:r>
          </w:p>
        </w:tc>
        <w:tc>
          <w:tcPr>
            <w:tcW w:w="1080" w:type="dxa"/>
          </w:tcPr>
          <w:p w14:paraId="0C6986D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765F8A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E00509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D20A6B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8A8AFF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A738FB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E5E2CE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DEDCC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6B8D2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B7BED6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0C4F1D4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221E6E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A2F8DB6" w14:textId="77777777" w:rsidTr="00BF4B86">
        <w:trPr>
          <w:trHeight w:val="339"/>
        </w:trPr>
        <w:tc>
          <w:tcPr>
            <w:tcW w:w="2520" w:type="dxa"/>
          </w:tcPr>
          <w:p w14:paraId="2BE3FFED"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Naliboff</w:t>
            </w:r>
            <w:proofErr w:type="spellEnd"/>
            <w:r w:rsidRPr="00CD2F5C">
              <w:rPr>
                <w:rFonts w:ascii="Cambria" w:hAnsi="Cambria"/>
                <w:sz w:val="24"/>
                <w:szCs w:val="24"/>
              </w:rPr>
              <w:t xml:space="preserve"> et al. 2015</w:t>
            </w:r>
          </w:p>
        </w:tc>
        <w:tc>
          <w:tcPr>
            <w:tcW w:w="1080" w:type="dxa"/>
          </w:tcPr>
          <w:p w14:paraId="64DDE2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F3C3DE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51EE22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CD64D2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45AB55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66EBEBA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3BB403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19BC88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068227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5FEA6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53F33A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ADCA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1B2F1060" w14:textId="77777777" w:rsidTr="00BF4B86">
        <w:trPr>
          <w:trHeight w:val="339"/>
        </w:trPr>
        <w:tc>
          <w:tcPr>
            <w:tcW w:w="2520" w:type="dxa"/>
          </w:tcPr>
          <w:p w14:paraId="5D5C24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Nicol et al. 2016</w:t>
            </w:r>
          </w:p>
        </w:tc>
        <w:tc>
          <w:tcPr>
            <w:tcW w:w="1080" w:type="dxa"/>
          </w:tcPr>
          <w:p w14:paraId="32E01BF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A9E3F6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3F4313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A118F3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AFB7E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62DDB2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83C30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828B13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C2454A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8D0DF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02DCB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7EF1CC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70FFC4AA" w14:textId="77777777" w:rsidTr="00BF4B86">
        <w:trPr>
          <w:trHeight w:val="339"/>
        </w:trPr>
        <w:tc>
          <w:tcPr>
            <w:tcW w:w="2520" w:type="dxa"/>
          </w:tcPr>
          <w:p w14:paraId="7793FA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Nicolson et al. 2010</w:t>
            </w:r>
          </w:p>
        </w:tc>
        <w:tc>
          <w:tcPr>
            <w:tcW w:w="1080" w:type="dxa"/>
          </w:tcPr>
          <w:p w14:paraId="030999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241C7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09972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9CDC0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56A704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F62650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CC9B1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0BCA8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09315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5ABDD8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D5EA01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723186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496315B" w14:textId="77777777" w:rsidTr="00BF4B86">
        <w:trPr>
          <w:trHeight w:val="339"/>
        </w:trPr>
        <w:tc>
          <w:tcPr>
            <w:tcW w:w="2520" w:type="dxa"/>
          </w:tcPr>
          <w:p w14:paraId="1F28945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Noteboom et al. 2021</w:t>
            </w:r>
          </w:p>
        </w:tc>
        <w:tc>
          <w:tcPr>
            <w:tcW w:w="1080" w:type="dxa"/>
          </w:tcPr>
          <w:p w14:paraId="72CF745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BAF2A4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9F615F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0B4E6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6FD1F1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79F735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B1919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CE26A3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51110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AC60B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0AA510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540" w:type="dxa"/>
          </w:tcPr>
          <w:p w14:paraId="79733A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1373FFBF" w14:textId="77777777" w:rsidTr="00BF4B86">
        <w:trPr>
          <w:trHeight w:val="339"/>
        </w:trPr>
        <w:tc>
          <w:tcPr>
            <w:tcW w:w="2520" w:type="dxa"/>
          </w:tcPr>
          <w:p w14:paraId="20F0595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Nygaard et al. 2019</w:t>
            </w:r>
          </w:p>
        </w:tc>
        <w:tc>
          <w:tcPr>
            <w:tcW w:w="1080" w:type="dxa"/>
          </w:tcPr>
          <w:p w14:paraId="3F9FF3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65095E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C94E6D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7697BA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34B8DD6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312934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AA9FDD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67BE72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A6009B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1620BB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9697C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EE572D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3FF0A3D" w14:textId="77777777" w:rsidTr="00BF4B86">
        <w:trPr>
          <w:trHeight w:val="339"/>
        </w:trPr>
        <w:tc>
          <w:tcPr>
            <w:tcW w:w="2520" w:type="dxa"/>
          </w:tcPr>
          <w:p w14:paraId="6427011A"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Ottenhoff</w:t>
            </w:r>
            <w:proofErr w:type="spellEnd"/>
            <w:r w:rsidRPr="00CD2F5C">
              <w:rPr>
                <w:rFonts w:ascii="Cambria" w:hAnsi="Cambria"/>
                <w:sz w:val="24"/>
                <w:szCs w:val="24"/>
              </w:rPr>
              <w:t xml:space="preserve"> et al. 2019</w:t>
            </w:r>
          </w:p>
        </w:tc>
        <w:tc>
          <w:tcPr>
            <w:tcW w:w="1080" w:type="dxa"/>
          </w:tcPr>
          <w:p w14:paraId="47621D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A14CB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AE2AF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56D24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71D12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115E320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5B0DE0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D41821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52868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A4D106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97B18E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2766B4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310C5E4" w14:textId="77777777" w:rsidTr="00BF4B86">
        <w:trPr>
          <w:trHeight w:val="339"/>
        </w:trPr>
        <w:tc>
          <w:tcPr>
            <w:tcW w:w="2520" w:type="dxa"/>
          </w:tcPr>
          <w:p w14:paraId="1A38B8E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Park et al. 2014</w:t>
            </w:r>
          </w:p>
        </w:tc>
        <w:tc>
          <w:tcPr>
            <w:tcW w:w="1080" w:type="dxa"/>
          </w:tcPr>
          <w:p w14:paraId="0D1946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DBE60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B86C8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CD28D6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487B14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4AA1E8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D612FE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477801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77AD88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ED0FCB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27C049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AC92EA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55F862D" w14:textId="77777777" w:rsidTr="00BF4B86">
        <w:trPr>
          <w:trHeight w:val="339"/>
        </w:trPr>
        <w:tc>
          <w:tcPr>
            <w:tcW w:w="2520" w:type="dxa"/>
          </w:tcPr>
          <w:p w14:paraId="45849F4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Park et al. 2016</w:t>
            </w:r>
          </w:p>
        </w:tc>
        <w:tc>
          <w:tcPr>
            <w:tcW w:w="1080" w:type="dxa"/>
          </w:tcPr>
          <w:p w14:paraId="0BDE82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237412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CCAD9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D15FB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F5F8C5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F97A9B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856AFA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09DF2F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767E97E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196D00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41B7D5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4993A5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21EA776" w14:textId="77777777" w:rsidTr="00BF4B86">
        <w:trPr>
          <w:trHeight w:val="339"/>
        </w:trPr>
        <w:tc>
          <w:tcPr>
            <w:tcW w:w="2520" w:type="dxa"/>
          </w:tcPr>
          <w:p w14:paraId="7CAB482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Piontek et al. 2021</w:t>
            </w:r>
          </w:p>
        </w:tc>
        <w:tc>
          <w:tcPr>
            <w:tcW w:w="1080" w:type="dxa"/>
          </w:tcPr>
          <w:p w14:paraId="51FB2DB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C16D9B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3AB3F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BBBCB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E79FB0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89F66F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63D4F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919BF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BCEDE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A39AE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1EF4A8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0B57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224988A2" w14:textId="77777777" w:rsidTr="00BF4B86">
        <w:trPr>
          <w:trHeight w:val="339"/>
        </w:trPr>
        <w:tc>
          <w:tcPr>
            <w:tcW w:w="2520" w:type="dxa"/>
          </w:tcPr>
          <w:p w14:paraId="5D0B2DB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Poli-Neto et al. 2018</w:t>
            </w:r>
          </w:p>
        </w:tc>
        <w:tc>
          <w:tcPr>
            <w:tcW w:w="1080" w:type="dxa"/>
          </w:tcPr>
          <w:p w14:paraId="10E582C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FD6AFB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A2095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F240AF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4C4D72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E7DF86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1B0A6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0E881B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2C4DD4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5692B6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EB2127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07C0E9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40392C88" w14:textId="77777777" w:rsidTr="00BF4B86">
        <w:trPr>
          <w:trHeight w:val="339"/>
        </w:trPr>
        <w:tc>
          <w:tcPr>
            <w:tcW w:w="2520" w:type="dxa"/>
          </w:tcPr>
          <w:p w14:paraId="7A0B826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Rehan et al. 2017</w:t>
            </w:r>
          </w:p>
        </w:tc>
        <w:tc>
          <w:tcPr>
            <w:tcW w:w="1080" w:type="dxa"/>
          </w:tcPr>
          <w:p w14:paraId="26964AD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EC1CE2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C0F9DC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E24472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0C9E8D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CF7A71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3D16BA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641CBBA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D575CB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B8CC60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4295C37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677E28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r>
      <w:tr w:rsidR="007B26A4" w:rsidRPr="00CD2F5C" w14:paraId="5063B947" w14:textId="77777777" w:rsidTr="00BF4B86">
        <w:trPr>
          <w:trHeight w:val="339"/>
        </w:trPr>
        <w:tc>
          <w:tcPr>
            <w:tcW w:w="2520" w:type="dxa"/>
          </w:tcPr>
          <w:p w14:paraId="6C6E23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Romans et al. 2002</w:t>
            </w:r>
          </w:p>
        </w:tc>
        <w:tc>
          <w:tcPr>
            <w:tcW w:w="1080" w:type="dxa"/>
          </w:tcPr>
          <w:p w14:paraId="585BFF5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C5E7AF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F9FA2C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A3498B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ED377F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1AD8C7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9F21CA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84101D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10F0552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F00381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674087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C76B0A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835CF4C" w14:textId="77777777" w:rsidTr="00BF4B86">
        <w:trPr>
          <w:trHeight w:val="339"/>
        </w:trPr>
        <w:tc>
          <w:tcPr>
            <w:tcW w:w="2520" w:type="dxa"/>
          </w:tcPr>
          <w:p w14:paraId="1CC7C4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Sachs-Ericsson et al. 2017</w:t>
            </w:r>
          </w:p>
        </w:tc>
        <w:tc>
          <w:tcPr>
            <w:tcW w:w="1080" w:type="dxa"/>
          </w:tcPr>
          <w:p w14:paraId="36DD02D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7C2BF4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5310A7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56A705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F6555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D7CFFE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F72510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F9A789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41121F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0516DF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EF4065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540" w:type="dxa"/>
          </w:tcPr>
          <w:p w14:paraId="12A392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r>
      <w:tr w:rsidR="007B26A4" w:rsidRPr="00CD2F5C" w14:paraId="7F7E68F7" w14:textId="77777777" w:rsidTr="00BF4B86">
        <w:trPr>
          <w:trHeight w:val="339"/>
        </w:trPr>
        <w:tc>
          <w:tcPr>
            <w:tcW w:w="2520" w:type="dxa"/>
          </w:tcPr>
          <w:p w14:paraId="335E4CB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Sansone et al. 2006</w:t>
            </w:r>
          </w:p>
        </w:tc>
        <w:tc>
          <w:tcPr>
            <w:tcW w:w="1080" w:type="dxa"/>
          </w:tcPr>
          <w:p w14:paraId="43B19B2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F99705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C76D5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5DB169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0FDD91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57E69C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DADAF8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B3362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D5DC23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0F1A93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1F5F4B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3B987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43122FB" w14:textId="77777777" w:rsidTr="00BF4B86">
        <w:trPr>
          <w:trHeight w:val="339"/>
        </w:trPr>
        <w:tc>
          <w:tcPr>
            <w:tcW w:w="2520" w:type="dxa"/>
          </w:tcPr>
          <w:p w14:paraId="2F8DBFDF"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Schrepf</w:t>
            </w:r>
            <w:proofErr w:type="spellEnd"/>
            <w:r w:rsidRPr="00CD2F5C">
              <w:rPr>
                <w:rFonts w:ascii="Cambria" w:hAnsi="Cambria"/>
                <w:sz w:val="24"/>
                <w:szCs w:val="24"/>
              </w:rPr>
              <w:t xml:space="preserve"> et al. 2018</w:t>
            </w:r>
          </w:p>
        </w:tc>
        <w:tc>
          <w:tcPr>
            <w:tcW w:w="1080" w:type="dxa"/>
          </w:tcPr>
          <w:p w14:paraId="6C06967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3C745D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ED0528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8FBE3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255B3D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1CE16FF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F90177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5E007F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9D83B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BD3C5A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2653336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0E88B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2269641" w14:textId="77777777" w:rsidTr="00BF4B86">
        <w:trPr>
          <w:trHeight w:val="339"/>
        </w:trPr>
        <w:tc>
          <w:tcPr>
            <w:tcW w:w="2520" w:type="dxa"/>
          </w:tcPr>
          <w:p w14:paraId="7C17CF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Scott et al. 2011</w:t>
            </w:r>
          </w:p>
        </w:tc>
        <w:tc>
          <w:tcPr>
            <w:tcW w:w="1080" w:type="dxa"/>
          </w:tcPr>
          <w:p w14:paraId="388F86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532E4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C6D2D8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3792A1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A5103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310FBAA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378EE5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15D412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1982C3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05E4E7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98ABDC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A9F73B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r>
      <w:tr w:rsidR="007B26A4" w:rsidRPr="00CD2F5C" w14:paraId="1D0F822C" w14:textId="77777777" w:rsidTr="00BF4B86">
        <w:trPr>
          <w:trHeight w:val="339"/>
        </w:trPr>
        <w:tc>
          <w:tcPr>
            <w:tcW w:w="2520" w:type="dxa"/>
          </w:tcPr>
          <w:p w14:paraId="4D5F41F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Sigurdardottir et al. 2012</w:t>
            </w:r>
          </w:p>
        </w:tc>
        <w:tc>
          <w:tcPr>
            <w:tcW w:w="1080" w:type="dxa"/>
          </w:tcPr>
          <w:p w14:paraId="5A7248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D439BE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5BFC93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99687D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EE6F70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DA0E91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11C089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B82DA9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608496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6F5513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C38B9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7387C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555ABA97" w14:textId="77777777" w:rsidTr="00BF4B86">
        <w:trPr>
          <w:trHeight w:val="339"/>
        </w:trPr>
        <w:tc>
          <w:tcPr>
            <w:tcW w:w="2520" w:type="dxa"/>
          </w:tcPr>
          <w:p w14:paraId="77018E0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Slavic &amp; Irwin 2014</w:t>
            </w:r>
          </w:p>
        </w:tc>
        <w:tc>
          <w:tcPr>
            <w:tcW w:w="1080" w:type="dxa"/>
          </w:tcPr>
          <w:p w14:paraId="11B182C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1F39C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9B6BE0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2A4A61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184F6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4F4826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33A8B5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450" w:type="dxa"/>
          </w:tcPr>
          <w:p w14:paraId="17FF989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38D9D7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ADFACF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1FA359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6E61FB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r>
      <w:tr w:rsidR="007B26A4" w:rsidRPr="00CD2F5C" w14:paraId="10F735FE" w14:textId="77777777" w:rsidTr="00BF4B86">
        <w:trPr>
          <w:trHeight w:val="339"/>
        </w:trPr>
        <w:tc>
          <w:tcPr>
            <w:tcW w:w="2520" w:type="dxa"/>
          </w:tcPr>
          <w:p w14:paraId="14B5254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Sprang et al. 2020</w:t>
            </w:r>
          </w:p>
        </w:tc>
        <w:tc>
          <w:tcPr>
            <w:tcW w:w="1080" w:type="dxa"/>
          </w:tcPr>
          <w:p w14:paraId="0463AFE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F609A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81E4D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D933B0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44D271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EE218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2D0748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21331F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57193B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13DE24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E1D7F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2CAD57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764CF51D" w14:textId="77777777" w:rsidTr="00BF4B86">
        <w:trPr>
          <w:trHeight w:val="339"/>
        </w:trPr>
        <w:tc>
          <w:tcPr>
            <w:tcW w:w="2520" w:type="dxa"/>
          </w:tcPr>
          <w:p w14:paraId="76DF0B6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Steine et al. 2017</w:t>
            </w:r>
          </w:p>
        </w:tc>
        <w:tc>
          <w:tcPr>
            <w:tcW w:w="1080" w:type="dxa"/>
          </w:tcPr>
          <w:p w14:paraId="65C5DF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32BD7F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409154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B81B9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AAFAD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09DD7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26B3C8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6FD64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1FCC6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965182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65C2ED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97CDD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6F885E69" w14:textId="77777777" w:rsidTr="00BF4B86">
        <w:trPr>
          <w:trHeight w:val="339"/>
        </w:trPr>
        <w:tc>
          <w:tcPr>
            <w:tcW w:w="2520" w:type="dxa"/>
          </w:tcPr>
          <w:p w14:paraId="016459E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Teicher et al. 2006</w:t>
            </w:r>
          </w:p>
        </w:tc>
        <w:tc>
          <w:tcPr>
            <w:tcW w:w="1080" w:type="dxa"/>
          </w:tcPr>
          <w:p w14:paraId="01D9392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5723EE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AE4BA1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3C3C11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7D394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AE406D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8E775D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2A0179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2B6B48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6389E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52DE67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CEF331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6CCB85AC" w14:textId="77777777" w:rsidTr="00BF4B86">
        <w:trPr>
          <w:trHeight w:val="339"/>
        </w:trPr>
        <w:tc>
          <w:tcPr>
            <w:tcW w:w="2520" w:type="dxa"/>
          </w:tcPr>
          <w:p w14:paraId="5D9AC68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Teicher et al. 2010</w:t>
            </w:r>
          </w:p>
        </w:tc>
        <w:tc>
          <w:tcPr>
            <w:tcW w:w="1080" w:type="dxa"/>
          </w:tcPr>
          <w:p w14:paraId="15BFD1F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AE7845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ECBF4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160CA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946C6F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B4C638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C92EB6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B5F06C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793A0B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58A3F1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3A3135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229130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85DB705" w14:textId="77777777" w:rsidTr="00BF4B86">
        <w:trPr>
          <w:trHeight w:val="339"/>
        </w:trPr>
        <w:tc>
          <w:tcPr>
            <w:tcW w:w="2520" w:type="dxa"/>
          </w:tcPr>
          <w:p w14:paraId="56D4160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Tekin et al. 2015</w:t>
            </w:r>
          </w:p>
        </w:tc>
        <w:tc>
          <w:tcPr>
            <w:tcW w:w="1080" w:type="dxa"/>
          </w:tcPr>
          <w:p w14:paraId="215E4F8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A1DDC5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69AB77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87D43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8923A5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CD617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C6152B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3CAE177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DC7B91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214F81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297EFFB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826176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51D5905" w14:textId="77777777" w:rsidTr="00BF4B86">
        <w:trPr>
          <w:trHeight w:val="339"/>
        </w:trPr>
        <w:tc>
          <w:tcPr>
            <w:tcW w:w="2520" w:type="dxa"/>
          </w:tcPr>
          <w:p w14:paraId="7E430F68" w14:textId="77777777" w:rsidR="007B26A4" w:rsidRPr="00CD2F5C" w:rsidRDefault="007B26A4" w:rsidP="002B0F75">
            <w:pPr>
              <w:spacing w:after="160" w:line="360" w:lineRule="auto"/>
              <w:rPr>
                <w:rFonts w:ascii="Cambria" w:hAnsi="Cambria"/>
                <w:sz w:val="24"/>
                <w:szCs w:val="24"/>
              </w:rPr>
            </w:pPr>
            <w:proofErr w:type="spellStart"/>
            <w:r w:rsidRPr="00CD2F5C">
              <w:rPr>
                <w:rFonts w:ascii="Cambria" w:hAnsi="Cambria"/>
                <w:sz w:val="24"/>
                <w:szCs w:val="24"/>
              </w:rPr>
              <w:t>Tesarz</w:t>
            </w:r>
            <w:proofErr w:type="spellEnd"/>
            <w:r w:rsidRPr="00CD2F5C">
              <w:rPr>
                <w:rFonts w:ascii="Cambria" w:hAnsi="Cambria"/>
                <w:sz w:val="24"/>
                <w:szCs w:val="24"/>
              </w:rPr>
              <w:t xml:space="preserve"> et al. 2016</w:t>
            </w:r>
          </w:p>
        </w:tc>
        <w:tc>
          <w:tcPr>
            <w:tcW w:w="1080" w:type="dxa"/>
          </w:tcPr>
          <w:p w14:paraId="6DB30BC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8D6D87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539F4C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B6FBF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92192F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810520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52845F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50FEF3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1F58E17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FCDFC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0C4E416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3130B85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D6A5BD1" w14:textId="77777777" w:rsidTr="00BF4B86">
        <w:trPr>
          <w:trHeight w:val="339"/>
        </w:trPr>
        <w:tc>
          <w:tcPr>
            <w:tcW w:w="2520" w:type="dxa"/>
          </w:tcPr>
          <w:p w14:paraId="41ECE6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Tietjen 2009c</w:t>
            </w:r>
          </w:p>
        </w:tc>
        <w:tc>
          <w:tcPr>
            <w:tcW w:w="1080" w:type="dxa"/>
          </w:tcPr>
          <w:p w14:paraId="3844C37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10ACF3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6BD6DC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C28D5C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059E7B3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BE9450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F0A97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47447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BD98E8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43D030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3AA937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51E8073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63D20B43" w14:textId="77777777" w:rsidTr="00BF4B86">
        <w:trPr>
          <w:trHeight w:val="339"/>
        </w:trPr>
        <w:tc>
          <w:tcPr>
            <w:tcW w:w="2520" w:type="dxa"/>
          </w:tcPr>
          <w:p w14:paraId="045144A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Tietjen et al. 2009</w:t>
            </w:r>
          </w:p>
        </w:tc>
        <w:tc>
          <w:tcPr>
            <w:tcW w:w="1080" w:type="dxa"/>
          </w:tcPr>
          <w:p w14:paraId="3CC3B1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A88FE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491DC3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AB9316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DA9CC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460819C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FD1A55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8C0970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F6DD52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396560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96F8B8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749C33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3060AFE1" w14:textId="77777777" w:rsidTr="00BF4B86">
        <w:trPr>
          <w:trHeight w:val="339"/>
        </w:trPr>
        <w:tc>
          <w:tcPr>
            <w:tcW w:w="2520" w:type="dxa"/>
          </w:tcPr>
          <w:p w14:paraId="0C06E8E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Tietjen et al. 2009b</w:t>
            </w:r>
          </w:p>
        </w:tc>
        <w:tc>
          <w:tcPr>
            <w:tcW w:w="1080" w:type="dxa"/>
          </w:tcPr>
          <w:p w14:paraId="0020A38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F2F51A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55D6AE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BDB47A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659D2A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EF30EA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D853F0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BCF079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06414B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1A7B5B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09748E2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577EA3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D039C70" w14:textId="77777777" w:rsidTr="00BF4B86">
        <w:trPr>
          <w:trHeight w:val="339"/>
        </w:trPr>
        <w:tc>
          <w:tcPr>
            <w:tcW w:w="2520" w:type="dxa"/>
          </w:tcPr>
          <w:p w14:paraId="084813F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Tietjen et al. 2015</w:t>
            </w:r>
          </w:p>
        </w:tc>
        <w:tc>
          <w:tcPr>
            <w:tcW w:w="1080" w:type="dxa"/>
          </w:tcPr>
          <w:p w14:paraId="5031F02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6D6B55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5F8057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6F6F39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2AEC7C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4D7C386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18CE49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52B5E63"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BD0BF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24B982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919D46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EF58BD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2FB408E" w14:textId="77777777" w:rsidTr="00BF4B86">
        <w:trPr>
          <w:trHeight w:val="339"/>
        </w:trPr>
        <w:tc>
          <w:tcPr>
            <w:tcW w:w="2520" w:type="dxa"/>
          </w:tcPr>
          <w:p w14:paraId="1E9557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Tietjen et al. 2017</w:t>
            </w:r>
          </w:p>
        </w:tc>
        <w:tc>
          <w:tcPr>
            <w:tcW w:w="1080" w:type="dxa"/>
          </w:tcPr>
          <w:p w14:paraId="6259B28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623943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DF9659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3BAE50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3F1774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17A36B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892B6D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2F7E442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A088BF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4EE64B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589B709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E3C1B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r>
      <w:tr w:rsidR="007B26A4" w:rsidRPr="00CD2F5C" w14:paraId="487F2F64" w14:textId="77777777" w:rsidTr="00BF4B86">
        <w:trPr>
          <w:trHeight w:val="339"/>
        </w:trPr>
        <w:tc>
          <w:tcPr>
            <w:tcW w:w="2520" w:type="dxa"/>
          </w:tcPr>
          <w:p w14:paraId="3BE853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lastRenderedPageBreak/>
              <w:t>Van der Feltz-Cornelis et al. 2020</w:t>
            </w:r>
          </w:p>
        </w:tc>
        <w:tc>
          <w:tcPr>
            <w:tcW w:w="1080" w:type="dxa"/>
          </w:tcPr>
          <w:p w14:paraId="5AC95CF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A00835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0BB740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25E044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BD727A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81933C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450" w:type="dxa"/>
          </w:tcPr>
          <w:p w14:paraId="29E4566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7D454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7AB9F1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3E025AC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7B60FA4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26D5C6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r>
      <w:tr w:rsidR="007B26A4" w:rsidRPr="00CD2F5C" w14:paraId="6FC9377F" w14:textId="77777777" w:rsidTr="00BF4B86">
        <w:trPr>
          <w:trHeight w:val="339"/>
        </w:trPr>
        <w:tc>
          <w:tcPr>
            <w:tcW w:w="2520" w:type="dxa"/>
          </w:tcPr>
          <w:p w14:paraId="5249E3D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Von Korff et al. 2009</w:t>
            </w:r>
          </w:p>
        </w:tc>
        <w:tc>
          <w:tcPr>
            <w:tcW w:w="1080" w:type="dxa"/>
          </w:tcPr>
          <w:p w14:paraId="77B6D17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B8F006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80F233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7C5FC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16EAB6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DB1D2B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79ECFFC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41D906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D3ABC6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615B941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14CFE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40" w:type="dxa"/>
          </w:tcPr>
          <w:p w14:paraId="51D83DD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4DDBCAD1" w14:textId="77777777" w:rsidTr="00BF4B86">
        <w:trPr>
          <w:trHeight w:val="339"/>
        </w:trPr>
        <w:tc>
          <w:tcPr>
            <w:tcW w:w="2520" w:type="dxa"/>
          </w:tcPr>
          <w:p w14:paraId="1562ED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Williams et al. 2019</w:t>
            </w:r>
          </w:p>
        </w:tc>
        <w:tc>
          <w:tcPr>
            <w:tcW w:w="1080" w:type="dxa"/>
          </w:tcPr>
          <w:p w14:paraId="0F3F77E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10E8090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0AE194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20D395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05DE2C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CD19E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0C5BC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CCCCEB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82303B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25371F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64786F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112809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r>
      <w:tr w:rsidR="007B26A4" w:rsidRPr="00CD2F5C" w14:paraId="7822FAB9" w14:textId="77777777" w:rsidTr="00BF4B86">
        <w:trPr>
          <w:trHeight w:val="339"/>
        </w:trPr>
        <w:tc>
          <w:tcPr>
            <w:tcW w:w="2520" w:type="dxa"/>
          </w:tcPr>
          <w:p w14:paraId="040082F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Yeung et al. 2016</w:t>
            </w:r>
          </w:p>
        </w:tc>
        <w:tc>
          <w:tcPr>
            <w:tcW w:w="1080" w:type="dxa"/>
          </w:tcPr>
          <w:p w14:paraId="22AD7C8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48DFF82"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690033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DD8C29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FAD80E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E380A2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66EA058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AE409C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958E8E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42EC6B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w:t>
            </w:r>
          </w:p>
        </w:tc>
        <w:tc>
          <w:tcPr>
            <w:tcW w:w="517" w:type="dxa"/>
          </w:tcPr>
          <w:p w14:paraId="02DEDEF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B1D8FD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0500798" w14:textId="77777777" w:rsidTr="00BF4B86">
        <w:trPr>
          <w:trHeight w:val="339"/>
        </w:trPr>
        <w:tc>
          <w:tcPr>
            <w:tcW w:w="2520" w:type="dxa"/>
          </w:tcPr>
          <w:p w14:paraId="70F98C1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You et al. 2019</w:t>
            </w:r>
          </w:p>
        </w:tc>
        <w:tc>
          <w:tcPr>
            <w:tcW w:w="1080" w:type="dxa"/>
          </w:tcPr>
          <w:p w14:paraId="307FEBA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680406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133AE5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66B45AA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005CBA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450" w:type="dxa"/>
          </w:tcPr>
          <w:p w14:paraId="69626E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027C52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10C22E0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046B738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293B7C0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6A120C3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16B66B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24D6CBD7" w14:textId="77777777" w:rsidTr="00BF4B86">
        <w:trPr>
          <w:trHeight w:val="339"/>
        </w:trPr>
        <w:tc>
          <w:tcPr>
            <w:tcW w:w="2520" w:type="dxa"/>
          </w:tcPr>
          <w:p w14:paraId="394023E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Yücel et al. 2002</w:t>
            </w:r>
          </w:p>
        </w:tc>
        <w:tc>
          <w:tcPr>
            <w:tcW w:w="1080" w:type="dxa"/>
          </w:tcPr>
          <w:p w14:paraId="6CADBB3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5FF4219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33B8A9C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E569CB9"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BC7461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U</w:t>
            </w:r>
          </w:p>
        </w:tc>
        <w:tc>
          <w:tcPr>
            <w:tcW w:w="450" w:type="dxa"/>
          </w:tcPr>
          <w:p w14:paraId="56D8B4E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29FCB04"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573C49E5"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EEBB02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72D2B45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185C7EF0"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F7E8C3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r w:rsidR="007B26A4" w:rsidRPr="00CD2F5C" w14:paraId="0F8660CB" w14:textId="77777777" w:rsidTr="00BF4B86">
        <w:trPr>
          <w:trHeight w:val="339"/>
        </w:trPr>
        <w:tc>
          <w:tcPr>
            <w:tcW w:w="2520" w:type="dxa"/>
          </w:tcPr>
          <w:p w14:paraId="5F56BC1D"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Zlotnick et al. 2017</w:t>
            </w:r>
          </w:p>
        </w:tc>
        <w:tc>
          <w:tcPr>
            <w:tcW w:w="1080" w:type="dxa"/>
          </w:tcPr>
          <w:p w14:paraId="1D7B898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27584747"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00B347F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78DC61AF"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399C750E"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4243707A"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NA</w:t>
            </w:r>
          </w:p>
        </w:tc>
        <w:tc>
          <w:tcPr>
            <w:tcW w:w="450" w:type="dxa"/>
          </w:tcPr>
          <w:p w14:paraId="303EE2B8"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778C83FB"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50" w:type="dxa"/>
          </w:tcPr>
          <w:p w14:paraId="64B03DE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473" w:type="dxa"/>
          </w:tcPr>
          <w:p w14:paraId="58439B5C"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17" w:type="dxa"/>
          </w:tcPr>
          <w:p w14:paraId="34AC0D76"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c>
          <w:tcPr>
            <w:tcW w:w="540" w:type="dxa"/>
          </w:tcPr>
          <w:p w14:paraId="478D3711" w14:textId="77777777" w:rsidR="007B26A4" w:rsidRPr="00CD2F5C" w:rsidRDefault="007B26A4" w:rsidP="002B0F75">
            <w:pPr>
              <w:spacing w:after="160" w:line="360" w:lineRule="auto"/>
              <w:rPr>
                <w:rFonts w:ascii="Cambria" w:hAnsi="Cambria"/>
                <w:sz w:val="24"/>
                <w:szCs w:val="24"/>
              </w:rPr>
            </w:pPr>
            <w:r w:rsidRPr="00CD2F5C">
              <w:rPr>
                <w:rFonts w:ascii="Cambria" w:hAnsi="Cambria"/>
                <w:sz w:val="24"/>
                <w:szCs w:val="24"/>
              </w:rPr>
              <w:t>Y</w:t>
            </w:r>
          </w:p>
        </w:tc>
      </w:tr>
    </w:tbl>
    <w:p w14:paraId="313C0884"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*1. Is the review question clearly and explicitly stated? 2. Were the inclusion criteria appropriate for the review question? 3. Was the search strategy appropriate? 4. Were the sources and resources used to search for studies adequate? 5. Were the criteria for appraising studies appropriate? 6. Was critical appraisal conducted by two or more reviewers independently? 7. Were there methods to minimize errors in data extraction? 8. Were the methods used to combine studies appropriate? 9. Was the likelihood of publication bias assessed? 10. Were recommendations for policy and/or practice </w:t>
      </w:r>
      <w:r w:rsidRPr="00CD2F5C">
        <w:rPr>
          <w:rFonts w:ascii="Cambria" w:hAnsi="Cambria"/>
          <w:sz w:val="24"/>
          <w:szCs w:val="24"/>
        </w:rPr>
        <w:lastRenderedPageBreak/>
        <w:t>supported by the reported data? 11. Were the specific directives for new research appropriate?</w:t>
      </w:r>
    </w:p>
    <w:p w14:paraId="671F6F57"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 xml:space="preserve">Link to full JBI resources: </w:t>
      </w:r>
      <w:hyperlink r:id="rId140" w:history="1">
        <w:r w:rsidRPr="00CD2F5C">
          <w:rPr>
            <w:rStyle w:val="Hyperlink"/>
            <w:rFonts w:ascii="Cambria" w:hAnsi="Cambria"/>
            <w:sz w:val="24"/>
            <w:szCs w:val="24"/>
          </w:rPr>
          <w:t>https://jbi-global-wiki.refined.site/space/MANUAL/4685874/Downloadable+PDF+-+current+version?attachment=/rest/api/content/4685874/child/attachment/att4691824/download&amp;type=application/pdf</w:t>
        </w:r>
      </w:hyperlink>
    </w:p>
    <w:p w14:paraId="3BFF5012" w14:textId="77777777" w:rsidR="007B26A4" w:rsidRPr="00CD2F5C" w:rsidRDefault="007B26A4" w:rsidP="002B0F75">
      <w:pPr>
        <w:spacing w:line="360" w:lineRule="auto"/>
        <w:rPr>
          <w:rFonts w:ascii="Cambria" w:hAnsi="Cambria"/>
          <w:sz w:val="24"/>
          <w:szCs w:val="24"/>
        </w:rPr>
      </w:pPr>
    </w:p>
    <w:p w14:paraId="4CAF98DB"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br w:type="page"/>
      </w:r>
    </w:p>
    <w:p w14:paraId="0787ECFE" w14:textId="77777777" w:rsidR="007B26A4" w:rsidRPr="00CD2F5C" w:rsidRDefault="007B26A4" w:rsidP="002B0F75">
      <w:pPr>
        <w:spacing w:line="360" w:lineRule="auto"/>
        <w:rPr>
          <w:rFonts w:ascii="Cambria" w:hAnsi="Cambria"/>
          <w:b/>
          <w:bCs/>
          <w:sz w:val="24"/>
          <w:szCs w:val="24"/>
        </w:rPr>
      </w:pPr>
      <w:r w:rsidRPr="00CD2F5C">
        <w:rPr>
          <w:rFonts w:ascii="Cambria" w:hAnsi="Cambria"/>
          <w:b/>
          <w:bCs/>
          <w:sz w:val="24"/>
          <w:szCs w:val="24"/>
        </w:rPr>
        <w:lastRenderedPageBreak/>
        <w:t>Appendix C. Meta-analysis</w:t>
      </w:r>
    </w:p>
    <w:p w14:paraId="049B812D" w14:textId="77777777" w:rsidR="007B26A4" w:rsidRPr="00CD2F5C" w:rsidRDefault="007B26A4" w:rsidP="002B0F75">
      <w:pPr>
        <w:spacing w:line="360" w:lineRule="auto"/>
        <w:rPr>
          <w:rFonts w:ascii="Cambria" w:hAnsi="Cambria"/>
          <w:sz w:val="24"/>
          <w:szCs w:val="24"/>
        </w:rPr>
      </w:pPr>
      <w:r w:rsidRPr="00CD2F5C">
        <w:rPr>
          <w:rFonts w:ascii="Cambria" w:hAnsi="Cambria"/>
          <w:sz w:val="24"/>
          <w:szCs w:val="24"/>
        </w:rPr>
        <w:t>Data Extraction Tables:</w:t>
      </w:r>
    </w:p>
    <w:p w14:paraId="5CB757F7" w14:textId="77777777" w:rsidR="007B26A4" w:rsidRPr="00CD2F5C" w:rsidRDefault="007B26A4" w:rsidP="002B0F75">
      <w:pPr>
        <w:spacing w:line="360" w:lineRule="auto"/>
        <w:rPr>
          <w:rFonts w:ascii="Cambria" w:hAnsi="Cambria"/>
          <w:sz w:val="24"/>
          <w:szCs w:val="24"/>
        </w:rPr>
      </w:pPr>
    </w:p>
    <w:p w14:paraId="00B6768D" w14:textId="77777777" w:rsidR="007B26A4" w:rsidRPr="00CD2F5C" w:rsidRDefault="007B26A4" w:rsidP="002B0F75">
      <w:pPr>
        <w:spacing w:line="360" w:lineRule="auto"/>
        <w:rPr>
          <w:rFonts w:ascii="Cambria" w:hAnsi="Cambria"/>
          <w:sz w:val="24"/>
          <w:szCs w:val="24"/>
        </w:rPr>
      </w:pPr>
      <w:r w:rsidRPr="00CD2F5C">
        <w:rPr>
          <w:rFonts w:ascii="Cambria" w:hAnsi="Cambria"/>
          <w:noProof/>
          <w:sz w:val="24"/>
          <w:szCs w:val="24"/>
        </w:rPr>
        <w:object w:dxaOrig="1508" w:dyaOrig="983" w14:anchorId="77B77F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 style="width:77.5pt;height:46.5pt;mso-width-percent:0;mso-height-percent:0;mso-width-percent:0;mso-height-percent:0" o:ole="">
            <v:imagedata r:id="rId141" o:title=""/>
          </v:shape>
          <o:OLEObject Type="Embed" ProgID="Excel.Sheet.12" ShapeID="_x0000_i1031" DrawAspect="Icon" ObjectID="_1792473500" r:id="rId142"/>
        </w:object>
      </w:r>
    </w:p>
    <w:p w14:paraId="72EEAE33" w14:textId="77777777" w:rsidR="007B26A4" w:rsidRPr="00CD2F5C" w:rsidRDefault="007B26A4" w:rsidP="002B0F75">
      <w:pPr>
        <w:spacing w:line="360" w:lineRule="auto"/>
        <w:rPr>
          <w:rFonts w:ascii="Cambria" w:hAnsi="Cambria"/>
          <w:sz w:val="24"/>
          <w:szCs w:val="24"/>
        </w:rPr>
      </w:pPr>
    </w:p>
    <w:p w14:paraId="499DD676" w14:textId="77777777" w:rsidR="007B26A4" w:rsidRPr="00CD2F5C" w:rsidRDefault="007B26A4" w:rsidP="002B0F75">
      <w:pPr>
        <w:spacing w:line="360" w:lineRule="auto"/>
        <w:rPr>
          <w:rFonts w:ascii="Cambria" w:hAnsi="Cambria"/>
          <w:sz w:val="24"/>
          <w:szCs w:val="24"/>
        </w:rPr>
      </w:pPr>
    </w:p>
    <w:p w14:paraId="0A0AA866" w14:textId="77777777" w:rsidR="007B26A4" w:rsidRDefault="007B26A4" w:rsidP="002B0F75">
      <w:pPr>
        <w:spacing w:line="360" w:lineRule="auto"/>
        <w:rPr>
          <w:rFonts w:ascii="Times New Roman" w:eastAsia="Times New Roman" w:hAnsi="Times New Roman" w:cs="Times New Roman"/>
          <w:b/>
          <w:bCs/>
          <w:kern w:val="36"/>
          <w:sz w:val="48"/>
          <w:szCs w:val="48"/>
        </w:rPr>
      </w:pPr>
      <w:r>
        <w:br w:type="page"/>
      </w:r>
    </w:p>
    <w:p w14:paraId="598DDEB1" w14:textId="77777777" w:rsidR="007B26A4" w:rsidRPr="00CD2F5C" w:rsidRDefault="007B26A4" w:rsidP="002B0F75">
      <w:pPr>
        <w:pStyle w:val="Heading1"/>
        <w:spacing w:line="360" w:lineRule="auto"/>
      </w:pPr>
      <w:bookmarkStart w:id="175" w:name="_Toc181362886"/>
      <w:r w:rsidRPr="1E06730D">
        <w:lastRenderedPageBreak/>
        <w:t>Chapter 3 Supplemental</w:t>
      </w:r>
      <w:bookmarkEnd w:id="175"/>
    </w:p>
    <w:p w14:paraId="32A50D09" w14:textId="77777777" w:rsidR="007B26A4" w:rsidRPr="00CD2F5C" w:rsidRDefault="007B26A4" w:rsidP="002B0F75">
      <w:pPr>
        <w:suppressAutoHyphens/>
        <w:overflowPunct w:val="0"/>
        <w:spacing w:after="247"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Appendix A. Additional statistical background</w:t>
      </w:r>
    </w:p>
    <w:p w14:paraId="00F1D8DB"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 xml:space="preserve">A two-way ANOVA was initially conducted to accommodate multiple independent variables. The independent variables were anxiety and history of childhood adversity, and the dependent variables were eight different pain measures (as listed in </w:t>
      </w:r>
      <w:r w:rsidRPr="00CD2F5C">
        <w:rPr>
          <w:rFonts w:ascii="Cambria" w:eastAsia="Calibri" w:hAnsi="Cambria" w:cs="Calibri"/>
          <w:b/>
          <w:bCs/>
          <w:color w:val="000000"/>
          <w:sz w:val="24"/>
          <w:szCs w:val="24"/>
        </w:rPr>
        <w:t>Table S1</w:t>
      </w:r>
      <w:r w:rsidRPr="00CD2F5C">
        <w:rPr>
          <w:rFonts w:ascii="Cambria" w:eastAsia="Calibri" w:hAnsi="Cambria" w:cs="Calibri"/>
          <w:color w:val="000000"/>
          <w:sz w:val="24"/>
          <w:szCs w:val="24"/>
        </w:rPr>
        <w:t xml:space="preserve">). The assumption of normality of residuals was violated, so ultimately, ANOVA was not recommended as the best model for this study. For transparency, the results of this failed ANOVA are displayed in </w:t>
      </w:r>
      <w:r w:rsidRPr="00CD2F5C">
        <w:rPr>
          <w:rFonts w:ascii="Cambria" w:eastAsia="Calibri" w:hAnsi="Cambria" w:cs="Calibri"/>
          <w:b/>
          <w:bCs/>
          <w:color w:val="000000"/>
          <w:sz w:val="24"/>
          <w:szCs w:val="24"/>
        </w:rPr>
        <w:t>Table S1.</w:t>
      </w:r>
    </w:p>
    <w:p w14:paraId="59190114" w14:textId="77777777" w:rsidR="007B26A4" w:rsidRPr="00CD2F5C" w:rsidRDefault="007B26A4" w:rsidP="002B0F75">
      <w:pPr>
        <w:suppressAutoHyphens/>
        <w:overflowPunct w:val="0"/>
        <w:spacing w:after="247"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Table S1. Results of failed ANOVA testing</w:t>
      </w:r>
    </w:p>
    <w:tbl>
      <w:tblPr>
        <w:tblW w:w="9540" w:type="dxa"/>
        <w:tblInd w:w="-5" w:type="dxa"/>
        <w:tblBorders>
          <w:top w:val="single" w:sz="4" w:space="0" w:color="auto"/>
          <w:bottom w:val="single" w:sz="4" w:space="0" w:color="auto"/>
        </w:tblBorders>
        <w:tblCellMar>
          <w:left w:w="30" w:type="dxa"/>
          <w:right w:w="30" w:type="dxa"/>
        </w:tblCellMar>
        <w:tblLook w:val="04A0" w:firstRow="1" w:lastRow="0" w:firstColumn="1" w:lastColumn="0" w:noHBand="0" w:noVBand="1"/>
      </w:tblPr>
      <w:tblGrid>
        <w:gridCol w:w="2636"/>
        <w:gridCol w:w="1030"/>
        <w:gridCol w:w="840"/>
        <w:gridCol w:w="941"/>
        <w:gridCol w:w="987"/>
        <w:gridCol w:w="964"/>
        <w:gridCol w:w="1071"/>
        <w:gridCol w:w="1071"/>
      </w:tblGrid>
      <w:tr w:rsidR="007B26A4" w:rsidRPr="00CD2F5C" w14:paraId="1BDC5BF4" w14:textId="77777777" w:rsidTr="00BF4B86">
        <w:trPr>
          <w:trHeight w:val="256"/>
        </w:trPr>
        <w:tc>
          <w:tcPr>
            <w:tcW w:w="2503" w:type="dxa"/>
            <w:tcBorders>
              <w:top w:val="single" w:sz="4" w:space="0" w:color="auto"/>
              <w:bottom w:val="single" w:sz="4" w:space="0" w:color="auto"/>
            </w:tcBorders>
            <w:shd w:val="clear" w:color="auto" w:fill="auto"/>
            <w:vAlign w:val="center"/>
          </w:tcPr>
          <w:p w14:paraId="2F4B4CF6"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p>
        </w:tc>
        <w:tc>
          <w:tcPr>
            <w:tcW w:w="1055" w:type="dxa"/>
            <w:tcBorders>
              <w:top w:val="single" w:sz="4" w:space="0" w:color="auto"/>
              <w:bottom w:val="single" w:sz="4" w:space="0" w:color="auto"/>
            </w:tcBorders>
            <w:shd w:val="clear" w:color="auto" w:fill="auto"/>
            <w:vAlign w:val="center"/>
          </w:tcPr>
          <w:p w14:paraId="76D43F7F"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proofErr w:type="spellStart"/>
            <w:r w:rsidRPr="00CD2F5C">
              <w:rPr>
                <w:rFonts w:ascii="Cambria" w:eastAsia="Calibri" w:hAnsi="Cambria" w:cs="Calibri"/>
                <w:b/>
                <w:bCs/>
                <w:color w:val="000000"/>
                <w:sz w:val="24"/>
                <w:szCs w:val="24"/>
              </w:rPr>
              <w:t>Df</w:t>
            </w:r>
            <w:proofErr w:type="spellEnd"/>
          </w:p>
        </w:tc>
        <w:tc>
          <w:tcPr>
            <w:tcW w:w="871" w:type="dxa"/>
            <w:tcBorders>
              <w:top w:val="single" w:sz="4" w:space="0" w:color="auto"/>
              <w:bottom w:val="single" w:sz="4" w:space="0" w:color="auto"/>
            </w:tcBorders>
            <w:shd w:val="clear" w:color="auto" w:fill="auto"/>
            <w:vAlign w:val="center"/>
          </w:tcPr>
          <w:p w14:paraId="4794EBF0"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SS</w:t>
            </w:r>
          </w:p>
        </w:tc>
        <w:tc>
          <w:tcPr>
            <w:tcW w:w="966" w:type="dxa"/>
            <w:tcBorders>
              <w:top w:val="single" w:sz="4" w:space="0" w:color="auto"/>
              <w:bottom w:val="single" w:sz="4" w:space="0" w:color="auto"/>
            </w:tcBorders>
            <w:shd w:val="clear" w:color="auto" w:fill="auto"/>
            <w:vAlign w:val="center"/>
          </w:tcPr>
          <w:p w14:paraId="372C3952"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MS</w:t>
            </w:r>
          </w:p>
        </w:tc>
        <w:tc>
          <w:tcPr>
            <w:tcW w:w="995" w:type="dxa"/>
            <w:tcBorders>
              <w:top w:val="single" w:sz="4" w:space="0" w:color="auto"/>
              <w:bottom w:val="single" w:sz="4" w:space="0" w:color="auto"/>
            </w:tcBorders>
            <w:shd w:val="clear" w:color="auto" w:fill="auto"/>
            <w:vAlign w:val="center"/>
          </w:tcPr>
          <w:p w14:paraId="369FBE2E"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F</w:t>
            </w:r>
          </w:p>
        </w:tc>
        <w:tc>
          <w:tcPr>
            <w:tcW w:w="990" w:type="dxa"/>
            <w:tcBorders>
              <w:top w:val="single" w:sz="4" w:space="0" w:color="auto"/>
              <w:bottom w:val="single" w:sz="4" w:space="0" w:color="auto"/>
            </w:tcBorders>
            <w:shd w:val="clear" w:color="auto" w:fill="auto"/>
            <w:vAlign w:val="center"/>
          </w:tcPr>
          <w:p w14:paraId="294FB7D0" w14:textId="77777777" w:rsidR="007B26A4" w:rsidRPr="00CD2F5C" w:rsidRDefault="007B26A4" w:rsidP="002B0F75">
            <w:pPr>
              <w:suppressAutoHyphens/>
              <w:overflowPunct w:val="0"/>
              <w:spacing w:after="0" w:line="360" w:lineRule="auto"/>
              <w:ind w:left="-5" w:hanging="10"/>
              <w:rPr>
                <w:rFonts w:ascii="Cambria" w:eastAsia="Calibri" w:hAnsi="Cambria" w:cs="Calibri"/>
                <w:b/>
                <w:bCs/>
                <w:i/>
                <w:iCs/>
                <w:color w:val="000000"/>
                <w:sz w:val="24"/>
                <w:szCs w:val="24"/>
              </w:rPr>
            </w:pPr>
            <w:r w:rsidRPr="00CD2F5C">
              <w:rPr>
                <w:rFonts w:ascii="Cambria" w:eastAsia="Calibri" w:hAnsi="Cambria" w:cs="Calibri"/>
                <w:b/>
                <w:bCs/>
                <w:i/>
                <w:iCs/>
                <w:color w:val="000000"/>
                <w:sz w:val="24"/>
                <w:szCs w:val="24"/>
              </w:rPr>
              <w:t>P</w:t>
            </w:r>
          </w:p>
        </w:tc>
        <w:tc>
          <w:tcPr>
            <w:tcW w:w="1080" w:type="dxa"/>
            <w:tcBorders>
              <w:top w:val="single" w:sz="4" w:space="0" w:color="auto"/>
              <w:bottom w:val="single" w:sz="4" w:space="0" w:color="auto"/>
            </w:tcBorders>
            <w:shd w:val="clear" w:color="auto" w:fill="auto"/>
            <w:vAlign w:val="center"/>
          </w:tcPr>
          <w:p w14:paraId="724B7CE1"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eta-squared</w:t>
            </w:r>
          </w:p>
        </w:tc>
        <w:tc>
          <w:tcPr>
            <w:tcW w:w="1080" w:type="dxa"/>
            <w:tcBorders>
              <w:top w:val="single" w:sz="4" w:space="0" w:color="auto"/>
              <w:bottom w:val="single" w:sz="4" w:space="0" w:color="auto"/>
            </w:tcBorders>
            <w:shd w:val="clear" w:color="auto" w:fill="auto"/>
            <w:vAlign w:val="bottom"/>
          </w:tcPr>
          <w:p w14:paraId="5502A72B"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partial</w:t>
            </w:r>
          </w:p>
          <w:p w14:paraId="61D3F7F5" w14:textId="77777777" w:rsidR="007B26A4" w:rsidRPr="00CD2F5C" w:rsidRDefault="007B26A4" w:rsidP="002B0F75">
            <w:pPr>
              <w:suppressAutoHyphens/>
              <w:overflowPunct w:val="0"/>
              <w:spacing w:after="0"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t>eta-squared</w:t>
            </w:r>
          </w:p>
        </w:tc>
      </w:tr>
      <w:tr w:rsidR="007B26A4" w:rsidRPr="00CD2F5C" w14:paraId="6F98575B" w14:textId="77777777" w:rsidTr="00BF4B86">
        <w:trPr>
          <w:trHeight w:val="256"/>
        </w:trPr>
        <w:tc>
          <w:tcPr>
            <w:tcW w:w="2503" w:type="dxa"/>
            <w:tcBorders>
              <w:top w:val="single" w:sz="4" w:space="0" w:color="auto"/>
            </w:tcBorders>
            <w:shd w:val="clear" w:color="auto" w:fill="auto"/>
            <w:vAlign w:val="center"/>
          </w:tcPr>
          <w:p w14:paraId="6FC07355"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ProfessionalInfoAnxiety</w:t>
            </w:r>
            <w:proofErr w:type="spellEnd"/>
          </w:p>
        </w:tc>
        <w:tc>
          <w:tcPr>
            <w:tcW w:w="1055" w:type="dxa"/>
            <w:tcBorders>
              <w:top w:val="single" w:sz="4" w:space="0" w:color="auto"/>
            </w:tcBorders>
            <w:shd w:val="clear" w:color="auto" w:fill="auto"/>
            <w:vAlign w:val="center"/>
          </w:tcPr>
          <w:p w14:paraId="45157FF6"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tcBorders>
              <w:top w:val="single" w:sz="4" w:space="0" w:color="auto"/>
            </w:tcBorders>
            <w:shd w:val="clear" w:color="auto" w:fill="auto"/>
            <w:vAlign w:val="center"/>
          </w:tcPr>
          <w:p w14:paraId="64DAD269"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632</w:t>
            </w:r>
          </w:p>
        </w:tc>
        <w:tc>
          <w:tcPr>
            <w:tcW w:w="966" w:type="dxa"/>
            <w:tcBorders>
              <w:top w:val="single" w:sz="4" w:space="0" w:color="auto"/>
            </w:tcBorders>
            <w:shd w:val="clear" w:color="auto" w:fill="auto"/>
            <w:vAlign w:val="center"/>
          </w:tcPr>
          <w:p w14:paraId="39C7026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632.2</w:t>
            </w:r>
          </w:p>
        </w:tc>
        <w:tc>
          <w:tcPr>
            <w:tcW w:w="995" w:type="dxa"/>
            <w:tcBorders>
              <w:top w:val="single" w:sz="4" w:space="0" w:color="auto"/>
            </w:tcBorders>
            <w:shd w:val="clear" w:color="auto" w:fill="auto"/>
            <w:vAlign w:val="center"/>
          </w:tcPr>
          <w:p w14:paraId="22B2FCDC"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303.892</w:t>
            </w:r>
          </w:p>
        </w:tc>
        <w:tc>
          <w:tcPr>
            <w:tcW w:w="990" w:type="dxa"/>
            <w:tcBorders>
              <w:top w:val="single" w:sz="4" w:space="0" w:color="auto"/>
            </w:tcBorders>
            <w:shd w:val="clear" w:color="auto" w:fill="auto"/>
            <w:vAlign w:val="center"/>
          </w:tcPr>
          <w:p w14:paraId="479B518C"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tcBorders>
              <w:top w:val="single" w:sz="4" w:space="0" w:color="auto"/>
            </w:tcBorders>
            <w:shd w:val="clear" w:color="auto" w:fill="auto"/>
            <w:vAlign w:val="center"/>
          </w:tcPr>
          <w:p w14:paraId="2C944898"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0.0005</w:t>
            </w:r>
          </w:p>
        </w:tc>
        <w:tc>
          <w:tcPr>
            <w:tcW w:w="1080" w:type="dxa"/>
            <w:tcBorders>
              <w:top w:val="single" w:sz="4" w:space="0" w:color="auto"/>
            </w:tcBorders>
            <w:shd w:val="clear" w:color="auto" w:fill="auto"/>
            <w:vAlign w:val="bottom"/>
          </w:tcPr>
          <w:p w14:paraId="4FB1B5CD"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0.0005</w:t>
            </w:r>
          </w:p>
        </w:tc>
      </w:tr>
      <w:tr w:rsidR="007B26A4" w:rsidRPr="00CD2F5C" w14:paraId="0DC3A46A" w14:textId="77777777" w:rsidTr="00BF4B86">
        <w:trPr>
          <w:trHeight w:val="256"/>
        </w:trPr>
        <w:tc>
          <w:tcPr>
            <w:tcW w:w="2503" w:type="dxa"/>
            <w:shd w:val="clear" w:color="auto" w:fill="auto"/>
            <w:vAlign w:val="center"/>
          </w:tcPr>
          <w:p w14:paraId="425C2EC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TroubleRelaxing</w:t>
            </w:r>
            <w:proofErr w:type="spellEnd"/>
          </w:p>
        </w:tc>
        <w:tc>
          <w:tcPr>
            <w:tcW w:w="1055" w:type="dxa"/>
            <w:shd w:val="clear" w:color="auto" w:fill="auto"/>
            <w:vAlign w:val="center"/>
          </w:tcPr>
          <w:p w14:paraId="657A5CC8"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center"/>
          </w:tcPr>
          <w:p w14:paraId="2246471D"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535</w:t>
            </w:r>
          </w:p>
        </w:tc>
        <w:tc>
          <w:tcPr>
            <w:tcW w:w="966" w:type="dxa"/>
            <w:shd w:val="clear" w:color="auto" w:fill="auto"/>
            <w:vAlign w:val="center"/>
          </w:tcPr>
          <w:p w14:paraId="7D22F0EF"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534.8</w:t>
            </w:r>
          </w:p>
        </w:tc>
        <w:tc>
          <w:tcPr>
            <w:tcW w:w="995" w:type="dxa"/>
            <w:shd w:val="clear" w:color="auto" w:fill="auto"/>
            <w:vAlign w:val="center"/>
          </w:tcPr>
          <w:p w14:paraId="4081F304"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257.082</w:t>
            </w:r>
          </w:p>
        </w:tc>
        <w:tc>
          <w:tcPr>
            <w:tcW w:w="990" w:type="dxa"/>
            <w:shd w:val="clear" w:color="auto" w:fill="auto"/>
            <w:vAlign w:val="center"/>
          </w:tcPr>
          <w:p w14:paraId="5454B366"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center"/>
          </w:tcPr>
          <w:p w14:paraId="50732CD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0.0045</w:t>
            </w:r>
          </w:p>
        </w:tc>
        <w:tc>
          <w:tcPr>
            <w:tcW w:w="1080" w:type="dxa"/>
            <w:shd w:val="clear" w:color="auto" w:fill="auto"/>
            <w:vAlign w:val="bottom"/>
          </w:tcPr>
          <w:p w14:paraId="6D8B22D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0.0047</w:t>
            </w:r>
          </w:p>
        </w:tc>
      </w:tr>
      <w:tr w:rsidR="007B26A4" w:rsidRPr="00CD2F5C" w14:paraId="7E98B3D2" w14:textId="77777777" w:rsidTr="00BF4B86">
        <w:trPr>
          <w:trHeight w:val="256"/>
        </w:trPr>
        <w:tc>
          <w:tcPr>
            <w:tcW w:w="2503" w:type="dxa"/>
            <w:shd w:val="clear" w:color="auto" w:fill="auto"/>
            <w:vAlign w:val="center"/>
          </w:tcPr>
          <w:p w14:paraId="25872CFC"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MuscleSymptomsAnxiety</w:t>
            </w:r>
            <w:proofErr w:type="spellEnd"/>
          </w:p>
        </w:tc>
        <w:tc>
          <w:tcPr>
            <w:tcW w:w="1055" w:type="dxa"/>
            <w:shd w:val="clear" w:color="auto" w:fill="auto"/>
            <w:vAlign w:val="center"/>
          </w:tcPr>
          <w:p w14:paraId="4DD5750C"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center"/>
          </w:tcPr>
          <w:p w14:paraId="10F81B5D"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445</w:t>
            </w:r>
          </w:p>
        </w:tc>
        <w:tc>
          <w:tcPr>
            <w:tcW w:w="966" w:type="dxa"/>
            <w:shd w:val="clear" w:color="auto" w:fill="auto"/>
            <w:vAlign w:val="center"/>
          </w:tcPr>
          <w:p w14:paraId="193E75A3"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444.9</w:t>
            </w:r>
          </w:p>
        </w:tc>
        <w:tc>
          <w:tcPr>
            <w:tcW w:w="995" w:type="dxa"/>
            <w:shd w:val="clear" w:color="auto" w:fill="auto"/>
            <w:vAlign w:val="center"/>
          </w:tcPr>
          <w:p w14:paraId="0C33A032"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213.865</w:t>
            </w:r>
          </w:p>
        </w:tc>
        <w:tc>
          <w:tcPr>
            <w:tcW w:w="990" w:type="dxa"/>
            <w:shd w:val="clear" w:color="auto" w:fill="auto"/>
            <w:vAlign w:val="center"/>
          </w:tcPr>
          <w:p w14:paraId="3395578F"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center"/>
          </w:tcPr>
          <w:p w14:paraId="034CE80A"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0.0076</w:t>
            </w:r>
          </w:p>
        </w:tc>
        <w:tc>
          <w:tcPr>
            <w:tcW w:w="1080" w:type="dxa"/>
            <w:shd w:val="clear" w:color="auto" w:fill="auto"/>
            <w:vAlign w:val="bottom"/>
          </w:tcPr>
          <w:p w14:paraId="386E680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0.0078</w:t>
            </w:r>
          </w:p>
        </w:tc>
      </w:tr>
      <w:tr w:rsidR="007B26A4" w:rsidRPr="00CD2F5C" w14:paraId="73C0F5AF" w14:textId="77777777" w:rsidTr="00BF4B86">
        <w:trPr>
          <w:trHeight w:val="256"/>
        </w:trPr>
        <w:tc>
          <w:tcPr>
            <w:tcW w:w="2503" w:type="dxa"/>
            <w:shd w:val="clear" w:color="auto" w:fill="auto"/>
            <w:vAlign w:val="bottom"/>
          </w:tcPr>
          <w:p w14:paraId="43377EBE"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FeltHated</w:t>
            </w:r>
            <w:proofErr w:type="spellEnd"/>
          </w:p>
        </w:tc>
        <w:tc>
          <w:tcPr>
            <w:tcW w:w="1055" w:type="dxa"/>
            <w:shd w:val="clear" w:color="auto" w:fill="auto"/>
            <w:vAlign w:val="bottom"/>
          </w:tcPr>
          <w:p w14:paraId="430617D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bottom"/>
          </w:tcPr>
          <w:p w14:paraId="5BCC69C4"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99</w:t>
            </w:r>
          </w:p>
        </w:tc>
        <w:tc>
          <w:tcPr>
            <w:tcW w:w="966" w:type="dxa"/>
            <w:shd w:val="clear" w:color="auto" w:fill="auto"/>
            <w:vAlign w:val="bottom"/>
          </w:tcPr>
          <w:p w14:paraId="4C0270EC"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99.4</w:t>
            </w:r>
          </w:p>
        </w:tc>
        <w:tc>
          <w:tcPr>
            <w:tcW w:w="995" w:type="dxa"/>
            <w:shd w:val="clear" w:color="auto" w:fill="auto"/>
            <w:vAlign w:val="bottom"/>
          </w:tcPr>
          <w:p w14:paraId="14B2FD15"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47.77</w:t>
            </w:r>
          </w:p>
        </w:tc>
        <w:tc>
          <w:tcPr>
            <w:tcW w:w="990" w:type="dxa"/>
            <w:shd w:val="clear" w:color="auto" w:fill="auto"/>
            <w:vAlign w:val="bottom"/>
          </w:tcPr>
          <w:p w14:paraId="31A3BEF5"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bottom"/>
          </w:tcPr>
          <w:p w14:paraId="71E19CE9"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0.0009</w:t>
            </w:r>
          </w:p>
        </w:tc>
        <w:tc>
          <w:tcPr>
            <w:tcW w:w="1080" w:type="dxa"/>
            <w:shd w:val="clear" w:color="auto" w:fill="auto"/>
            <w:vAlign w:val="bottom"/>
          </w:tcPr>
          <w:p w14:paraId="774D83AA"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0.0009</w:t>
            </w:r>
          </w:p>
        </w:tc>
      </w:tr>
      <w:tr w:rsidR="007B26A4" w:rsidRPr="00CD2F5C" w14:paraId="0CD2A8B0" w14:textId="77777777" w:rsidTr="00BF4B86">
        <w:trPr>
          <w:trHeight w:val="256"/>
        </w:trPr>
        <w:tc>
          <w:tcPr>
            <w:tcW w:w="2503" w:type="dxa"/>
            <w:shd w:val="clear" w:color="auto" w:fill="auto"/>
            <w:vAlign w:val="bottom"/>
          </w:tcPr>
          <w:p w14:paraId="4C9E2E3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PhysicallyAbused</w:t>
            </w:r>
            <w:proofErr w:type="spellEnd"/>
          </w:p>
        </w:tc>
        <w:tc>
          <w:tcPr>
            <w:tcW w:w="1055" w:type="dxa"/>
            <w:shd w:val="clear" w:color="auto" w:fill="auto"/>
            <w:vAlign w:val="bottom"/>
          </w:tcPr>
          <w:p w14:paraId="6B5ECBC4"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bottom"/>
          </w:tcPr>
          <w:p w14:paraId="2EBC005C"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37</w:t>
            </w:r>
          </w:p>
        </w:tc>
        <w:tc>
          <w:tcPr>
            <w:tcW w:w="966" w:type="dxa"/>
            <w:shd w:val="clear" w:color="auto" w:fill="auto"/>
            <w:vAlign w:val="bottom"/>
          </w:tcPr>
          <w:p w14:paraId="7D66A176"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36.9</w:t>
            </w:r>
          </w:p>
        </w:tc>
        <w:tc>
          <w:tcPr>
            <w:tcW w:w="995" w:type="dxa"/>
            <w:shd w:val="clear" w:color="auto" w:fill="auto"/>
            <w:vAlign w:val="bottom"/>
          </w:tcPr>
          <w:p w14:paraId="654D161D"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17.719</w:t>
            </w:r>
          </w:p>
        </w:tc>
        <w:tc>
          <w:tcPr>
            <w:tcW w:w="990" w:type="dxa"/>
            <w:shd w:val="clear" w:color="auto" w:fill="auto"/>
            <w:vAlign w:val="bottom"/>
          </w:tcPr>
          <w:p w14:paraId="5956464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bottom"/>
          </w:tcPr>
          <w:p w14:paraId="5DD1FEC8"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0.0006</w:t>
            </w:r>
          </w:p>
        </w:tc>
        <w:tc>
          <w:tcPr>
            <w:tcW w:w="1080" w:type="dxa"/>
            <w:shd w:val="clear" w:color="auto" w:fill="auto"/>
            <w:vAlign w:val="bottom"/>
          </w:tcPr>
          <w:p w14:paraId="5C283052"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0.0006</w:t>
            </w:r>
          </w:p>
        </w:tc>
      </w:tr>
      <w:tr w:rsidR="007B26A4" w:rsidRPr="00CD2F5C" w14:paraId="41D2C415" w14:textId="77777777" w:rsidTr="00BF4B86">
        <w:trPr>
          <w:trHeight w:val="256"/>
        </w:trPr>
        <w:tc>
          <w:tcPr>
            <w:tcW w:w="2503" w:type="dxa"/>
            <w:shd w:val="clear" w:color="auto" w:fill="auto"/>
            <w:vAlign w:val="bottom"/>
          </w:tcPr>
          <w:p w14:paraId="089E14D3"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SexuallyAbused</w:t>
            </w:r>
            <w:proofErr w:type="spellEnd"/>
          </w:p>
        </w:tc>
        <w:tc>
          <w:tcPr>
            <w:tcW w:w="1055" w:type="dxa"/>
            <w:shd w:val="clear" w:color="auto" w:fill="auto"/>
            <w:vAlign w:val="bottom"/>
          </w:tcPr>
          <w:p w14:paraId="33918E9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bottom"/>
          </w:tcPr>
          <w:p w14:paraId="7216EEB8"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35</w:t>
            </w:r>
          </w:p>
        </w:tc>
        <w:tc>
          <w:tcPr>
            <w:tcW w:w="966" w:type="dxa"/>
            <w:shd w:val="clear" w:color="auto" w:fill="auto"/>
            <w:vAlign w:val="bottom"/>
          </w:tcPr>
          <w:p w14:paraId="74D102D3"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34.6</w:t>
            </w:r>
          </w:p>
        </w:tc>
        <w:tc>
          <w:tcPr>
            <w:tcW w:w="995" w:type="dxa"/>
            <w:shd w:val="clear" w:color="auto" w:fill="auto"/>
            <w:vAlign w:val="bottom"/>
          </w:tcPr>
          <w:p w14:paraId="11664DC5"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16.64</w:t>
            </w:r>
          </w:p>
        </w:tc>
        <w:tc>
          <w:tcPr>
            <w:tcW w:w="990" w:type="dxa"/>
            <w:shd w:val="clear" w:color="auto" w:fill="auto"/>
            <w:vAlign w:val="bottom"/>
          </w:tcPr>
          <w:p w14:paraId="1CC22E73"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bottom"/>
          </w:tcPr>
          <w:p w14:paraId="607CA7E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0.0006</w:t>
            </w:r>
          </w:p>
        </w:tc>
        <w:tc>
          <w:tcPr>
            <w:tcW w:w="1080" w:type="dxa"/>
            <w:shd w:val="clear" w:color="auto" w:fill="auto"/>
            <w:vAlign w:val="bottom"/>
          </w:tcPr>
          <w:p w14:paraId="29411BC3"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0.0006</w:t>
            </w:r>
          </w:p>
        </w:tc>
      </w:tr>
      <w:tr w:rsidR="007B26A4" w:rsidRPr="00CD2F5C" w14:paraId="66EE36B8" w14:textId="77777777" w:rsidTr="00BF4B86">
        <w:trPr>
          <w:trHeight w:val="256"/>
        </w:trPr>
        <w:tc>
          <w:tcPr>
            <w:tcW w:w="2503" w:type="dxa"/>
            <w:shd w:val="clear" w:color="auto" w:fill="auto"/>
            <w:vAlign w:val="bottom"/>
          </w:tcPr>
          <w:p w14:paraId="4DB934F7"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roofErr w:type="spellStart"/>
            <w:r w:rsidRPr="00CD2F5C">
              <w:rPr>
                <w:rFonts w:ascii="Cambria" w:eastAsia="Calibri" w:hAnsi="Cambria" w:cs="Calibri"/>
                <w:color w:val="000000"/>
                <w:sz w:val="24"/>
                <w:szCs w:val="24"/>
              </w:rPr>
              <w:t>FeltLoved</w:t>
            </w:r>
            <w:proofErr w:type="spellEnd"/>
          </w:p>
        </w:tc>
        <w:tc>
          <w:tcPr>
            <w:tcW w:w="1055" w:type="dxa"/>
            <w:shd w:val="clear" w:color="auto" w:fill="auto"/>
            <w:vAlign w:val="bottom"/>
          </w:tcPr>
          <w:p w14:paraId="5531D1AE"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bottom"/>
          </w:tcPr>
          <w:p w14:paraId="7345D3E7"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13</w:t>
            </w:r>
          </w:p>
        </w:tc>
        <w:tc>
          <w:tcPr>
            <w:tcW w:w="966" w:type="dxa"/>
            <w:shd w:val="clear" w:color="auto" w:fill="auto"/>
            <w:vAlign w:val="bottom"/>
          </w:tcPr>
          <w:p w14:paraId="58DF40FF"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12.6</w:t>
            </w:r>
          </w:p>
        </w:tc>
        <w:tc>
          <w:tcPr>
            <w:tcW w:w="995" w:type="dxa"/>
            <w:shd w:val="clear" w:color="auto" w:fill="auto"/>
            <w:vAlign w:val="bottom"/>
          </w:tcPr>
          <w:p w14:paraId="07CD6F0D"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6.05</w:t>
            </w:r>
          </w:p>
        </w:tc>
        <w:tc>
          <w:tcPr>
            <w:tcW w:w="990" w:type="dxa"/>
            <w:shd w:val="clear" w:color="auto" w:fill="auto"/>
            <w:vAlign w:val="bottom"/>
          </w:tcPr>
          <w:p w14:paraId="6F29F53A"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bottom"/>
          </w:tcPr>
          <w:p w14:paraId="37B1920E"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0.0002</w:t>
            </w:r>
          </w:p>
        </w:tc>
        <w:tc>
          <w:tcPr>
            <w:tcW w:w="1080" w:type="dxa"/>
            <w:shd w:val="clear" w:color="auto" w:fill="auto"/>
            <w:vAlign w:val="bottom"/>
          </w:tcPr>
          <w:p w14:paraId="323CF0CA"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0.0002</w:t>
            </w:r>
          </w:p>
        </w:tc>
      </w:tr>
      <w:tr w:rsidR="007B26A4" w:rsidRPr="00CD2F5C" w14:paraId="6F152B23" w14:textId="77777777" w:rsidTr="00BF4B86">
        <w:trPr>
          <w:trHeight w:val="256"/>
        </w:trPr>
        <w:tc>
          <w:tcPr>
            <w:tcW w:w="2503" w:type="dxa"/>
            <w:shd w:val="clear" w:color="auto" w:fill="auto"/>
            <w:vAlign w:val="bottom"/>
          </w:tcPr>
          <w:p w14:paraId="5BB619AB"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TakenToDoctorIfNeeded</w:t>
            </w:r>
          </w:p>
        </w:tc>
        <w:tc>
          <w:tcPr>
            <w:tcW w:w="1055" w:type="dxa"/>
            <w:shd w:val="clear" w:color="auto" w:fill="auto"/>
            <w:vAlign w:val="bottom"/>
          </w:tcPr>
          <w:p w14:paraId="7403936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w:t>
            </w:r>
          </w:p>
        </w:tc>
        <w:tc>
          <w:tcPr>
            <w:tcW w:w="871" w:type="dxa"/>
            <w:shd w:val="clear" w:color="auto" w:fill="auto"/>
            <w:vAlign w:val="bottom"/>
          </w:tcPr>
          <w:p w14:paraId="4839DD69"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2</w:t>
            </w:r>
          </w:p>
        </w:tc>
        <w:tc>
          <w:tcPr>
            <w:tcW w:w="966" w:type="dxa"/>
            <w:shd w:val="clear" w:color="auto" w:fill="auto"/>
            <w:vAlign w:val="bottom"/>
          </w:tcPr>
          <w:p w14:paraId="6EEFD1A5"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1.6</w:t>
            </w:r>
          </w:p>
        </w:tc>
        <w:tc>
          <w:tcPr>
            <w:tcW w:w="995" w:type="dxa"/>
            <w:shd w:val="clear" w:color="auto" w:fill="auto"/>
            <w:vAlign w:val="bottom"/>
          </w:tcPr>
          <w:p w14:paraId="014A923E"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0.749</w:t>
            </w:r>
          </w:p>
        </w:tc>
        <w:tc>
          <w:tcPr>
            <w:tcW w:w="990" w:type="dxa"/>
            <w:shd w:val="clear" w:color="auto" w:fill="auto"/>
            <w:vAlign w:val="bottom"/>
          </w:tcPr>
          <w:p w14:paraId="24D90C32"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&lt; 0.001</w:t>
            </w:r>
          </w:p>
        </w:tc>
        <w:tc>
          <w:tcPr>
            <w:tcW w:w="1080" w:type="dxa"/>
            <w:shd w:val="clear" w:color="auto" w:fill="auto"/>
            <w:vAlign w:val="bottom"/>
          </w:tcPr>
          <w:p w14:paraId="35B5B26F"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0.0000</w:t>
            </w:r>
          </w:p>
        </w:tc>
        <w:tc>
          <w:tcPr>
            <w:tcW w:w="1080" w:type="dxa"/>
            <w:shd w:val="clear" w:color="auto" w:fill="auto"/>
            <w:vAlign w:val="bottom"/>
          </w:tcPr>
          <w:p w14:paraId="168B0A4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0.0000</w:t>
            </w:r>
          </w:p>
        </w:tc>
      </w:tr>
      <w:tr w:rsidR="007B26A4" w:rsidRPr="00CD2F5C" w14:paraId="794737CD" w14:textId="77777777" w:rsidTr="00BF4B86">
        <w:trPr>
          <w:trHeight w:val="256"/>
        </w:trPr>
        <w:tc>
          <w:tcPr>
            <w:tcW w:w="2503" w:type="dxa"/>
            <w:shd w:val="clear" w:color="auto" w:fill="auto"/>
            <w:vAlign w:val="bottom"/>
          </w:tcPr>
          <w:p w14:paraId="1A24E184"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Residuals</w:t>
            </w:r>
          </w:p>
        </w:tc>
        <w:tc>
          <w:tcPr>
            <w:tcW w:w="1055" w:type="dxa"/>
            <w:shd w:val="clear" w:color="auto" w:fill="auto"/>
            <w:vAlign w:val="bottom"/>
          </w:tcPr>
          <w:p w14:paraId="13EC4BEA"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24163 5</w:t>
            </w:r>
          </w:p>
        </w:tc>
        <w:tc>
          <w:tcPr>
            <w:tcW w:w="871" w:type="dxa"/>
            <w:shd w:val="clear" w:color="auto" w:fill="auto"/>
            <w:vAlign w:val="bottom"/>
          </w:tcPr>
          <w:p w14:paraId="6B29040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268</w:t>
            </w:r>
          </w:p>
        </w:tc>
        <w:tc>
          <w:tcPr>
            <w:tcW w:w="966" w:type="dxa"/>
            <w:shd w:val="clear" w:color="auto" w:fill="auto"/>
            <w:vAlign w:val="bottom"/>
          </w:tcPr>
          <w:p w14:paraId="1F8B9CD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2.1</w:t>
            </w:r>
          </w:p>
        </w:tc>
        <w:tc>
          <w:tcPr>
            <w:tcW w:w="995" w:type="dxa"/>
            <w:shd w:val="clear" w:color="auto" w:fill="auto"/>
            <w:vAlign w:val="bottom"/>
          </w:tcPr>
          <w:p w14:paraId="4A0BBA8B"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
        </w:tc>
        <w:tc>
          <w:tcPr>
            <w:tcW w:w="990" w:type="dxa"/>
            <w:shd w:val="clear" w:color="auto" w:fill="auto"/>
            <w:vAlign w:val="bottom"/>
          </w:tcPr>
          <w:p w14:paraId="3F003E50"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
        </w:tc>
        <w:tc>
          <w:tcPr>
            <w:tcW w:w="1080" w:type="dxa"/>
            <w:shd w:val="clear" w:color="auto" w:fill="auto"/>
            <w:vAlign w:val="bottom"/>
          </w:tcPr>
          <w:p w14:paraId="07635869"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
        </w:tc>
        <w:tc>
          <w:tcPr>
            <w:tcW w:w="1080" w:type="dxa"/>
            <w:shd w:val="clear" w:color="auto" w:fill="auto"/>
            <w:vAlign w:val="bottom"/>
          </w:tcPr>
          <w:p w14:paraId="0943635A"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
        </w:tc>
      </w:tr>
    </w:tbl>
    <w:p w14:paraId="3C34B7F2" w14:textId="77777777" w:rsidR="007B26A4" w:rsidRPr="00CD2F5C" w:rsidRDefault="007B26A4" w:rsidP="002B0F75">
      <w:pPr>
        <w:suppressAutoHyphens/>
        <w:overflowPunct w:val="0"/>
        <w:spacing w:after="247" w:line="360" w:lineRule="auto"/>
        <w:ind w:left="-5" w:hanging="10"/>
        <w:rPr>
          <w:rFonts w:ascii="Cambria" w:eastAsia="Calibri" w:hAnsi="Cambria" w:cs="Calibri"/>
          <w:b/>
          <w:bCs/>
          <w:color w:val="000000"/>
          <w:sz w:val="24"/>
          <w:szCs w:val="24"/>
        </w:rPr>
      </w:pPr>
    </w:p>
    <w:p w14:paraId="4D819E26" w14:textId="77777777" w:rsidR="007B26A4" w:rsidRPr="00CD2F5C" w:rsidRDefault="007B26A4" w:rsidP="002B0F75">
      <w:pPr>
        <w:suppressAutoHyphens/>
        <w:overflowPunct w:val="0"/>
        <w:spacing w:after="247" w:line="360" w:lineRule="auto"/>
        <w:ind w:left="-5" w:hanging="10"/>
        <w:rPr>
          <w:rFonts w:ascii="Cambria" w:eastAsia="Calibri" w:hAnsi="Cambria" w:cs="Calibri"/>
          <w:i/>
          <w:iCs/>
          <w:color w:val="000000"/>
          <w:sz w:val="24"/>
          <w:szCs w:val="24"/>
        </w:rPr>
      </w:pPr>
      <w:r w:rsidRPr="00CD2F5C">
        <w:rPr>
          <w:rFonts w:ascii="Cambria" w:eastAsia="Calibri" w:hAnsi="Cambria" w:cs="Calibri"/>
          <w:i/>
          <w:iCs/>
          <w:color w:val="000000"/>
          <w:sz w:val="24"/>
          <w:szCs w:val="24"/>
        </w:rPr>
        <w:t>Regression analysis background:</w:t>
      </w:r>
    </w:p>
    <w:p w14:paraId="009CEC7A"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 xml:space="preserve">After determining ANOVA was an inappropriate model, it was assessed that Poisson regression made the best fit due to the count data of the UKB. Count data are discrete and </w:t>
      </w:r>
      <w:r w:rsidRPr="00CD2F5C">
        <w:rPr>
          <w:rFonts w:ascii="Cambria" w:eastAsia="Calibri" w:hAnsi="Cambria" w:cs="Calibri"/>
          <w:color w:val="000000"/>
          <w:sz w:val="24"/>
          <w:szCs w:val="24"/>
        </w:rPr>
        <w:lastRenderedPageBreak/>
        <w:t>left-censored at zero (that is, counts usually cannot be less than zero). Count data are often very skewed and produce skewed residuals if a parametric approach is attempted.</w:t>
      </w:r>
    </w:p>
    <w:p w14:paraId="1F28C18A"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In ordinary least square (OLS) regression, the R2 statistic measures the amount of variance explained by the regression model. The value of R2 ranges in [0,1], with a larger value indicating that more variance is explained by the model (a higher value is better).</w:t>
      </w:r>
    </w:p>
    <w:p w14:paraId="79958DF8"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noProof/>
          <w:color w:val="000000"/>
          <w:sz w:val="24"/>
          <w:szCs w:val="24"/>
        </w:rPr>
        <w:drawing>
          <wp:inline distT="0" distB="0" distL="0" distR="0" wp14:anchorId="3F372736" wp14:editId="41E812A4">
            <wp:extent cx="1685925" cy="687705"/>
            <wp:effectExtent l="0" t="0" r="9525" b="0"/>
            <wp:docPr id="686522349" name="Picture 686522349" descr="Image Psued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68749" name="Picture 3" descr="Image Psuedo3"/>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1685925" cy="687705"/>
                    </a:xfrm>
                    <a:prstGeom prst="rect">
                      <a:avLst/>
                    </a:prstGeom>
                    <a:noFill/>
                    <a:ln>
                      <a:noFill/>
                    </a:ln>
                  </pic:spPr>
                </pic:pic>
              </a:graphicData>
            </a:graphic>
          </wp:inline>
        </w:drawing>
      </w:r>
    </w:p>
    <w:p w14:paraId="79744955"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i/>
          <w:iCs/>
          <w:color w:val="000000"/>
          <w:sz w:val="24"/>
          <w:szCs w:val="24"/>
        </w:rPr>
        <w:t>N</w:t>
      </w:r>
      <w:r w:rsidRPr="00CD2F5C">
        <w:rPr>
          <w:rFonts w:ascii="Cambria" w:eastAsia="Calibri" w:hAnsi="Cambria" w:cs="Calibri"/>
          <w:color w:val="000000"/>
          <w:sz w:val="24"/>
          <w:szCs w:val="24"/>
        </w:rPr>
        <w:t> is the number of observations in the model,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 is the dependent variable,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-bar is the mean of the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 values, and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-hat is the value predicted by the model. The numerator of the ratio is the sum of the squared differences between the actual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 values and the predicted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 values. The denominator of the ratio is the sum of squared differences between the actual </w:t>
      </w:r>
      <w:r w:rsidRPr="00CD2F5C">
        <w:rPr>
          <w:rFonts w:ascii="Cambria" w:eastAsia="Calibri" w:hAnsi="Cambria" w:cs="Calibri"/>
          <w:i/>
          <w:iCs/>
          <w:color w:val="000000"/>
          <w:sz w:val="24"/>
          <w:szCs w:val="24"/>
        </w:rPr>
        <w:t>y</w:t>
      </w:r>
      <w:r w:rsidRPr="00CD2F5C">
        <w:rPr>
          <w:rFonts w:ascii="Cambria" w:eastAsia="Calibri" w:hAnsi="Cambria" w:cs="Calibri"/>
          <w:color w:val="000000"/>
          <w:sz w:val="24"/>
          <w:szCs w:val="24"/>
        </w:rPr>
        <w:t> values and their mean.</w:t>
      </w:r>
    </w:p>
    <w:p w14:paraId="7D2E2934"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The three main ways to interpret R2 are as follows.</w:t>
      </w:r>
    </w:p>
    <w:p w14:paraId="6EEF9C4F" w14:textId="77777777" w:rsidR="007B26A4" w:rsidRPr="00CD2F5C" w:rsidRDefault="007B26A4" w:rsidP="002B0F75">
      <w:pPr>
        <w:numPr>
          <w:ilvl w:val="0"/>
          <w:numId w:val="34"/>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explained variable: how much variability is explained by the model</w:t>
      </w:r>
    </w:p>
    <w:p w14:paraId="794C7C9B" w14:textId="77777777" w:rsidR="007B26A4" w:rsidRPr="00CD2F5C" w:rsidRDefault="007B26A4" w:rsidP="002B0F75">
      <w:pPr>
        <w:numPr>
          <w:ilvl w:val="0"/>
          <w:numId w:val="34"/>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goodness-of-fit: how well the model fits the data</w:t>
      </w:r>
    </w:p>
    <w:p w14:paraId="06553488" w14:textId="77777777" w:rsidR="007B26A4" w:rsidRPr="00CD2F5C" w:rsidRDefault="007B26A4" w:rsidP="002B0F75">
      <w:pPr>
        <w:numPr>
          <w:ilvl w:val="0"/>
          <w:numId w:val="34"/>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correlation: the correlations between the predictions and true values</w:t>
      </w:r>
    </w:p>
    <w:p w14:paraId="0DCD0061"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p>
    <w:p w14:paraId="0C943AD8" w14:textId="77777777" w:rsidR="007B26A4" w:rsidRPr="00CD2F5C" w:rsidRDefault="007B26A4" w:rsidP="002B0F75">
      <w:pPr>
        <w:suppressAutoHyphens/>
        <w:overflowPunct w:val="0"/>
        <w:spacing w:after="0"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 xml:space="preserve">For logistic regression, there have been many proposed pseudo-R2. A </w:t>
      </w:r>
      <w:proofErr w:type="spellStart"/>
      <w:r w:rsidRPr="00CD2F5C">
        <w:rPr>
          <w:rFonts w:ascii="Cambria" w:eastAsia="Calibri" w:hAnsi="Cambria" w:cs="Calibri"/>
          <w:color w:val="000000"/>
          <w:sz w:val="24"/>
          <w:szCs w:val="24"/>
        </w:rPr>
        <w:t>nonexhaustive</w:t>
      </w:r>
      <w:proofErr w:type="spellEnd"/>
      <w:r w:rsidRPr="00CD2F5C">
        <w:rPr>
          <w:rFonts w:ascii="Cambria" w:eastAsia="Calibri" w:hAnsi="Cambria" w:cs="Calibri"/>
          <w:color w:val="000000"/>
          <w:sz w:val="24"/>
          <w:szCs w:val="24"/>
        </w:rPr>
        <w:t xml:space="preserve"> list is shown below.</w:t>
      </w:r>
    </w:p>
    <w:p w14:paraId="2DA22D63"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Efron’s R2</w:t>
      </w:r>
    </w:p>
    <w:p w14:paraId="41B3FC4B"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McFadden’s R2</w:t>
      </w:r>
    </w:p>
    <w:p w14:paraId="30E28E1B"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McFadden’s Adjusted R2</w:t>
      </w:r>
    </w:p>
    <w:p w14:paraId="7E7278DF"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Cox &amp; Snell R2</w:t>
      </w:r>
    </w:p>
    <w:p w14:paraId="089405C4"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Nagelkerke/Cragg &amp; Uhler’s R2</w:t>
      </w:r>
    </w:p>
    <w:p w14:paraId="31ADE255"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 xml:space="preserve">McKelvey &amp; </w:t>
      </w:r>
      <w:proofErr w:type="spellStart"/>
      <w:r w:rsidRPr="00CD2F5C">
        <w:rPr>
          <w:rFonts w:ascii="Cambria" w:eastAsia="Calibri" w:hAnsi="Cambria" w:cs="Calibri"/>
          <w:color w:val="000000"/>
          <w:sz w:val="24"/>
          <w:szCs w:val="24"/>
        </w:rPr>
        <w:t>Zavoina</w:t>
      </w:r>
      <w:proofErr w:type="spellEnd"/>
      <w:r w:rsidRPr="00CD2F5C">
        <w:rPr>
          <w:rFonts w:ascii="Cambria" w:eastAsia="Calibri" w:hAnsi="Cambria" w:cs="Calibri"/>
          <w:color w:val="000000"/>
          <w:sz w:val="24"/>
          <w:szCs w:val="24"/>
        </w:rPr>
        <w:t> R2</w:t>
      </w:r>
    </w:p>
    <w:p w14:paraId="76D09E35"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Count R2</w:t>
      </w:r>
    </w:p>
    <w:p w14:paraId="3C525476" w14:textId="77777777" w:rsidR="007B26A4" w:rsidRPr="00CD2F5C" w:rsidRDefault="007B26A4" w:rsidP="002B0F75">
      <w:pPr>
        <w:numPr>
          <w:ilvl w:val="0"/>
          <w:numId w:val="35"/>
        </w:numPr>
        <w:suppressAutoHyphens/>
        <w:overflowPunct w:val="0"/>
        <w:spacing w:after="0"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Adjusted Count R2</w:t>
      </w:r>
    </w:p>
    <w:p w14:paraId="3D7EFA6D" w14:textId="77777777" w:rsidR="007B26A4" w:rsidRPr="00CD2F5C" w:rsidRDefault="007B26A4" w:rsidP="002B0F75">
      <w:pPr>
        <w:suppressAutoHyphens/>
        <w:overflowPunct w:val="0"/>
        <w:spacing w:after="0" w:line="360" w:lineRule="auto"/>
        <w:ind w:left="720"/>
        <w:rPr>
          <w:rFonts w:ascii="Cambria" w:eastAsia="Calibri" w:hAnsi="Cambria" w:cs="Calibri"/>
          <w:color w:val="000000"/>
          <w:sz w:val="24"/>
          <w:szCs w:val="24"/>
        </w:rPr>
      </w:pPr>
    </w:p>
    <w:p w14:paraId="4B59ECFB"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For this study, Cragg &amp; Uhler’s was conducted:</w:t>
      </w:r>
    </w:p>
    <w:p w14:paraId="53E53AAA" w14:textId="77777777" w:rsidR="007B26A4" w:rsidRPr="00CD2F5C" w:rsidRDefault="007B26A4" w:rsidP="002B0F75">
      <w:pPr>
        <w:suppressAutoHyphens/>
        <w:overflowPunct w:val="0"/>
        <w:spacing w:after="247" w:line="360" w:lineRule="auto"/>
        <w:ind w:left="-5" w:hanging="10"/>
        <w:rPr>
          <w:rFonts w:ascii="Cambria" w:eastAsia="Calibri" w:hAnsi="Cambria" w:cs="Calibri"/>
          <w:b/>
          <w:bCs/>
          <w:color w:val="000000"/>
          <w:sz w:val="24"/>
          <w:szCs w:val="24"/>
        </w:rPr>
      </w:pPr>
      <w:r w:rsidRPr="00CD2F5C">
        <w:rPr>
          <w:rFonts w:ascii="Cambria" w:eastAsia="Calibri" w:hAnsi="Cambria" w:cs="Calibri"/>
          <w:b/>
          <w:bCs/>
          <w:noProof/>
          <w:color w:val="000000"/>
          <w:sz w:val="24"/>
          <w:szCs w:val="24"/>
        </w:rPr>
        <w:drawing>
          <wp:inline distT="0" distB="0" distL="0" distR="0" wp14:anchorId="7F1FF71D" wp14:editId="08581610">
            <wp:extent cx="2256790" cy="810895"/>
            <wp:effectExtent l="0" t="0" r="0" b="8255"/>
            <wp:docPr id="1402439593" name="Picture 1402439593" descr="Image CraggUh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57463" name="Picture 1" descr="Image CraggUhler"/>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2256790" cy="810895"/>
                    </a:xfrm>
                    <a:prstGeom prst="rect">
                      <a:avLst/>
                    </a:prstGeom>
                    <a:noFill/>
                    <a:ln>
                      <a:noFill/>
                    </a:ln>
                  </pic:spPr>
                </pic:pic>
              </a:graphicData>
            </a:graphic>
          </wp:inline>
        </w:drawing>
      </w:r>
    </w:p>
    <w:p w14:paraId="1C0871AA"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Nagelkerke or Cragg &amp; Uhler’s adjusts Cox &amp; Snell’s approach so that the range of possible values extends to 1. To achieve this, the Cox &amp; Snell R-squared is divided by its maximum possible value, 1-</w:t>
      </w:r>
      <w:r w:rsidRPr="00CD2F5C">
        <w:rPr>
          <w:rFonts w:ascii="Cambria" w:eastAsia="Calibri" w:hAnsi="Cambria" w:cs="Calibri"/>
          <w:i/>
          <w:iCs/>
          <w:color w:val="000000"/>
          <w:sz w:val="24"/>
          <w:szCs w:val="24"/>
        </w:rPr>
        <w:t>L(</w:t>
      </w:r>
      <w:proofErr w:type="spellStart"/>
      <w:r w:rsidRPr="00CD2F5C">
        <w:rPr>
          <w:rFonts w:ascii="Cambria" w:eastAsia="Calibri" w:hAnsi="Cambria" w:cs="Calibri"/>
          <w:i/>
          <w:iCs/>
          <w:color w:val="000000"/>
          <w:sz w:val="24"/>
          <w:szCs w:val="24"/>
        </w:rPr>
        <w:t>M</w:t>
      </w:r>
      <w:r w:rsidRPr="00CD2F5C">
        <w:rPr>
          <w:rFonts w:ascii="Cambria" w:eastAsia="Calibri" w:hAnsi="Cambria" w:cs="Calibri"/>
          <w:i/>
          <w:iCs/>
          <w:color w:val="000000"/>
          <w:sz w:val="24"/>
          <w:szCs w:val="24"/>
          <w:vertAlign w:val="subscript"/>
        </w:rPr>
        <w:t>Intercept</w:t>
      </w:r>
      <w:proofErr w:type="spellEnd"/>
      <w:r w:rsidRPr="00CD2F5C">
        <w:rPr>
          <w:rFonts w:ascii="Cambria" w:eastAsia="Calibri" w:hAnsi="Cambria" w:cs="Calibri"/>
          <w:i/>
          <w:iCs/>
          <w:color w:val="000000"/>
          <w:sz w:val="24"/>
          <w:szCs w:val="24"/>
        </w:rPr>
        <w:t>)</w:t>
      </w:r>
      <w:r w:rsidRPr="00CD2F5C">
        <w:rPr>
          <w:rFonts w:ascii="Cambria" w:eastAsia="Calibri" w:hAnsi="Cambria" w:cs="Calibri"/>
          <w:i/>
          <w:iCs/>
          <w:color w:val="000000"/>
          <w:sz w:val="24"/>
          <w:szCs w:val="24"/>
          <w:vertAlign w:val="superscript"/>
        </w:rPr>
        <w:t>2/N</w:t>
      </w:r>
      <w:r w:rsidRPr="00CD2F5C">
        <w:rPr>
          <w:rFonts w:ascii="Cambria" w:eastAsia="Calibri" w:hAnsi="Cambria" w:cs="Calibri"/>
          <w:i/>
          <w:iCs/>
          <w:color w:val="000000"/>
          <w:sz w:val="24"/>
          <w:szCs w:val="24"/>
        </w:rPr>
        <w:t xml:space="preserve">. </w:t>
      </w:r>
      <w:r w:rsidRPr="00CD2F5C">
        <w:rPr>
          <w:rFonts w:ascii="Cambria" w:eastAsia="Calibri" w:hAnsi="Cambria" w:cs="Calibri"/>
          <w:color w:val="000000"/>
          <w:sz w:val="24"/>
          <w:szCs w:val="24"/>
        </w:rPr>
        <w:t>Then, if the full model perfectly predicts the outcome and has a likelihood of 1, Nagelkerke/Cragg &amp; Uhler’s R-squared = 1. When </w:t>
      </w:r>
      <w:r w:rsidRPr="00CD2F5C">
        <w:rPr>
          <w:rFonts w:ascii="Cambria" w:eastAsia="Calibri" w:hAnsi="Cambria" w:cs="Calibri"/>
          <w:i/>
          <w:iCs/>
          <w:color w:val="000000"/>
          <w:sz w:val="24"/>
          <w:szCs w:val="24"/>
        </w:rPr>
        <w:t>L(</w:t>
      </w:r>
      <w:proofErr w:type="spellStart"/>
      <w:r w:rsidRPr="00CD2F5C">
        <w:rPr>
          <w:rFonts w:ascii="Cambria" w:eastAsia="Calibri" w:hAnsi="Cambria" w:cs="Calibri"/>
          <w:i/>
          <w:iCs/>
          <w:color w:val="000000"/>
          <w:sz w:val="24"/>
          <w:szCs w:val="24"/>
        </w:rPr>
        <w:t>M</w:t>
      </w:r>
      <w:r w:rsidRPr="00CD2F5C">
        <w:rPr>
          <w:rFonts w:ascii="Cambria" w:eastAsia="Calibri" w:hAnsi="Cambria" w:cs="Calibri"/>
          <w:i/>
          <w:iCs/>
          <w:color w:val="000000"/>
          <w:sz w:val="24"/>
          <w:szCs w:val="24"/>
          <w:vertAlign w:val="subscript"/>
        </w:rPr>
        <w:t>full</w:t>
      </w:r>
      <w:proofErr w:type="spellEnd"/>
      <w:r w:rsidRPr="00CD2F5C">
        <w:rPr>
          <w:rFonts w:ascii="Cambria" w:eastAsia="Calibri" w:hAnsi="Cambria" w:cs="Calibri"/>
          <w:i/>
          <w:iCs/>
          <w:color w:val="000000"/>
          <w:sz w:val="24"/>
          <w:szCs w:val="24"/>
        </w:rPr>
        <w:t>) = 1</w:t>
      </w:r>
      <w:r w:rsidRPr="00CD2F5C">
        <w:rPr>
          <w:rFonts w:ascii="Cambria" w:eastAsia="Calibri" w:hAnsi="Cambria" w:cs="Calibri"/>
          <w:color w:val="000000"/>
          <w:sz w:val="24"/>
          <w:szCs w:val="24"/>
        </w:rPr>
        <w:t>, then </w:t>
      </w:r>
      <w:r w:rsidRPr="00CD2F5C">
        <w:rPr>
          <w:rFonts w:ascii="Cambria" w:eastAsia="Calibri" w:hAnsi="Cambria" w:cs="Calibri"/>
          <w:i/>
          <w:iCs/>
          <w:color w:val="000000"/>
          <w:sz w:val="24"/>
          <w:szCs w:val="24"/>
        </w:rPr>
        <w:t>R</w:t>
      </w:r>
      <w:r w:rsidRPr="00CD2F5C">
        <w:rPr>
          <w:rFonts w:ascii="Cambria" w:eastAsia="Calibri" w:hAnsi="Cambria" w:cs="Calibri"/>
          <w:i/>
          <w:iCs/>
          <w:color w:val="000000"/>
          <w:sz w:val="24"/>
          <w:szCs w:val="24"/>
          <w:vertAlign w:val="superscript"/>
        </w:rPr>
        <w:t>2</w:t>
      </w:r>
      <w:r w:rsidRPr="00CD2F5C">
        <w:rPr>
          <w:rFonts w:ascii="Cambria" w:eastAsia="Calibri" w:hAnsi="Cambria" w:cs="Calibri"/>
          <w:i/>
          <w:iCs/>
          <w:color w:val="000000"/>
          <w:sz w:val="24"/>
          <w:szCs w:val="24"/>
        </w:rPr>
        <w:t> = 1</w:t>
      </w:r>
      <w:r w:rsidRPr="00CD2F5C">
        <w:rPr>
          <w:rFonts w:ascii="Cambria" w:eastAsia="Calibri" w:hAnsi="Cambria" w:cs="Calibri"/>
          <w:color w:val="000000"/>
          <w:sz w:val="24"/>
          <w:szCs w:val="24"/>
        </w:rPr>
        <w:t>; when </w:t>
      </w:r>
      <w:r w:rsidRPr="00CD2F5C">
        <w:rPr>
          <w:rFonts w:ascii="Cambria" w:eastAsia="Calibri" w:hAnsi="Cambria" w:cs="Calibri"/>
          <w:i/>
          <w:iCs/>
          <w:color w:val="000000"/>
          <w:sz w:val="24"/>
          <w:szCs w:val="24"/>
        </w:rPr>
        <w:t>L(</w:t>
      </w:r>
      <w:proofErr w:type="spellStart"/>
      <w:r w:rsidRPr="00CD2F5C">
        <w:rPr>
          <w:rFonts w:ascii="Cambria" w:eastAsia="Calibri" w:hAnsi="Cambria" w:cs="Calibri"/>
          <w:i/>
          <w:iCs/>
          <w:color w:val="000000"/>
          <w:sz w:val="24"/>
          <w:szCs w:val="24"/>
        </w:rPr>
        <w:t>M</w:t>
      </w:r>
      <w:r w:rsidRPr="00CD2F5C">
        <w:rPr>
          <w:rFonts w:ascii="Cambria" w:eastAsia="Calibri" w:hAnsi="Cambria" w:cs="Calibri"/>
          <w:i/>
          <w:iCs/>
          <w:color w:val="000000"/>
          <w:sz w:val="24"/>
          <w:szCs w:val="24"/>
          <w:vertAlign w:val="subscript"/>
        </w:rPr>
        <w:t>full</w:t>
      </w:r>
      <w:proofErr w:type="spellEnd"/>
      <w:r w:rsidRPr="00CD2F5C">
        <w:rPr>
          <w:rFonts w:ascii="Cambria" w:eastAsia="Calibri" w:hAnsi="Cambria" w:cs="Calibri"/>
          <w:i/>
          <w:iCs/>
          <w:color w:val="000000"/>
          <w:sz w:val="24"/>
          <w:szCs w:val="24"/>
        </w:rPr>
        <w:t>) = L(</w:t>
      </w:r>
      <w:proofErr w:type="spellStart"/>
      <w:r w:rsidRPr="00CD2F5C">
        <w:rPr>
          <w:rFonts w:ascii="Cambria" w:eastAsia="Calibri" w:hAnsi="Cambria" w:cs="Calibri"/>
          <w:i/>
          <w:iCs/>
          <w:color w:val="000000"/>
          <w:sz w:val="24"/>
          <w:szCs w:val="24"/>
        </w:rPr>
        <w:t>M</w:t>
      </w:r>
      <w:r w:rsidRPr="00CD2F5C">
        <w:rPr>
          <w:rFonts w:ascii="Cambria" w:eastAsia="Calibri" w:hAnsi="Cambria" w:cs="Calibri"/>
          <w:i/>
          <w:iCs/>
          <w:color w:val="000000"/>
          <w:sz w:val="24"/>
          <w:szCs w:val="24"/>
          <w:vertAlign w:val="subscript"/>
        </w:rPr>
        <w:t>intercept</w:t>
      </w:r>
      <w:proofErr w:type="spellEnd"/>
      <w:r w:rsidRPr="00CD2F5C">
        <w:rPr>
          <w:rFonts w:ascii="Cambria" w:eastAsia="Calibri" w:hAnsi="Cambria" w:cs="Calibri"/>
          <w:i/>
          <w:iCs/>
          <w:color w:val="000000"/>
          <w:sz w:val="24"/>
          <w:szCs w:val="24"/>
        </w:rPr>
        <w:t>)</w:t>
      </w:r>
      <w:r w:rsidRPr="00CD2F5C">
        <w:rPr>
          <w:rFonts w:ascii="Cambria" w:eastAsia="Calibri" w:hAnsi="Cambria" w:cs="Calibri"/>
          <w:color w:val="000000"/>
          <w:sz w:val="24"/>
          <w:szCs w:val="24"/>
        </w:rPr>
        <w:t>, then </w:t>
      </w:r>
      <w:r w:rsidRPr="00CD2F5C">
        <w:rPr>
          <w:rFonts w:ascii="Cambria" w:eastAsia="Calibri" w:hAnsi="Cambria" w:cs="Calibri"/>
          <w:i/>
          <w:iCs/>
          <w:color w:val="000000"/>
          <w:sz w:val="24"/>
          <w:szCs w:val="24"/>
        </w:rPr>
        <w:t>R</w:t>
      </w:r>
      <w:r w:rsidRPr="00CD2F5C">
        <w:rPr>
          <w:rFonts w:ascii="Cambria" w:eastAsia="Calibri" w:hAnsi="Cambria" w:cs="Calibri"/>
          <w:i/>
          <w:iCs/>
          <w:color w:val="000000"/>
          <w:sz w:val="24"/>
          <w:szCs w:val="24"/>
          <w:vertAlign w:val="superscript"/>
        </w:rPr>
        <w:t>2</w:t>
      </w:r>
      <w:r w:rsidRPr="00CD2F5C">
        <w:rPr>
          <w:rFonts w:ascii="Cambria" w:eastAsia="Calibri" w:hAnsi="Cambria" w:cs="Calibri"/>
          <w:i/>
          <w:iCs/>
          <w:color w:val="000000"/>
          <w:sz w:val="24"/>
          <w:szCs w:val="24"/>
        </w:rPr>
        <w:t> = 0</w:t>
      </w:r>
      <w:r w:rsidRPr="00CD2F5C">
        <w:rPr>
          <w:rFonts w:ascii="Cambria" w:eastAsia="Calibri" w:hAnsi="Cambria" w:cs="Calibri"/>
          <w:color w:val="000000"/>
          <w:sz w:val="24"/>
          <w:szCs w:val="24"/>
        </w:rPr>
        <w:t>.</w:t>
      </w:r>
    </w:p>
    <w:p w14:paraId="0AFD3B70"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 xml:space="preserve">When </w:t>
      </w:r>
      <w:proofErr w:type="spellStart"/>
      <w:r w:rsidRPr="00CD2F5C">
        <w:rPr>
          <w:rFonts w:ascii="Cambria" w:eastAsia="Calibri" w:hAnsi="Cambria" w:cs="Calibri"/>
          <w:color w:val="000000"/>
          <w:sz w:val="24"/>
          <w:szCs w:val="24"/>
        </w:rPr>
        <w:t>analyzing</w:t>
      </w:r>
      <w:proofErr w:type="spellEnd"/>
      <w:r w:rsidRPr="00CD2F5C">
        <w:rPr>
          <w:rFonts w:ascii="Cambria" w:eastAsia="Calibri" w:hAnsi="Cambria" w:cs="Calibri"/>
          <w:color w:val="000000"/>
          <w:sz w:val="24"/>
          <w:szCs w:val="24"/>
        </w:rPr>
        <w:t xml:space="preserve"> data with a logistic regression, an equivalent statistic to R-squared does not exist. The model estimates from a logistic regression are maximum likelihood estimates arrived at through an iterative process. They are not calculated to minimize variance, so the OLS approach to goodness-of-fit does not apply. However, to evaluate the goodness-of-fit of logistic models, several </w:t>
      </w:r>
      <w:proofErr w:type="gramStart"/>
      <w:r w:rsidRPr="00CD2F5C">
        <w:rPr>
          <w:rFonts w:ascii="Cambria" w:eastAsia="Calibri" w:hAnsi="Cambria" w:cs="Calibri"/>
          <w:color w:val="000000"/>
          <w:sz w:val="24"/>
          <w:szCs w:val="24"/>
        </w:rPr>
        <w:t>pseudo R</w:t>
      </w:r>
      <w:proofErr w:type="gramEnd"/>
      <w:r w:rsidRPr="00CD2F5C">
        <w:rPr>
          <w:rFonts w:ascii="Cambria" w:eastAsia="Calibri" w:hAnsi="Cambria" w:cs="Calibri"/>
          <w:color w:val="000000"/>
          <w:sz w:val="24"/>
          <w:szCs w:val="24"/>
        </w:rPr>
        <w:t>-</w:t>
      </w:r>
      <w:proofErr w:type="spellStart"/>
      <w:r w:rsidRPr="00CD2F5C">
        <w:rPr>
          <w:rFonts w:ascii="Cambria" w:eastAsia="Calibri" w:hAnsi="Cambria" w:cs="Calibri"/>
          <w:color w:val="000000"/>
          <w:sz w:val="24"/>
          <w:szCs w:val="24"/>
        </w:rPr>
        <w:t>squareds</w:t>
      </w:r>
      <w:proofErr w:type="spellEnd"/>
      <w:r w:rsidRPr="00CD2F5C">
        <w:rPr>
          <w:rFonts w:ascii="Cambria" w:eastAsia="Calibri" w:hAnsi="Cambria" w:cs="Calibri"/>
          <w:color w:val="000000"/>
          <w:sz w:val="24"/>
          <w:szCs w:val="24"/>
        </w:rPr>
        <w:t xml:space="preserve"> have been developed.</w:t>
      </w:r>
    </w:p>
    <w:p w14:paraId="2FDDDF67"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 xml:space="preserve">The interpretation of an OLS R-squared is relatively straightforward: “the proportion of the total variability of the outcome that is accounted for by the model”. In building a model, the aim is usually to predict variability. The outcome variable has a range of values, and you are interested in knowing what circumstances correspond to what parts of the range [25]. </w:t>
      </w:r>
      <w:r w:rsidRPr="00CD2F5C">
        <w:rPr>
          <w:rFonts w:ascii="Cambria" w:eastAsia="Calibri" w:hAnsi="Cambria" w:cs="Calibri"/>
          <w:b/>
          <w:bCs/>
          <w:color w:val="000000"/>
          <w:sz w:val="24"/>
          <w:szCs w:val="24"/>
        </w:rPr>
        <w:br w:type="page"/>
      </w:r>
    </w:p>
    <w:p w14:paraId="6DD0303B" w14:textId="77777777" w:rsidR="007B26A4" w:rsidRPr="00CD2F5C" w:rsidRDefault="007B26A4" w:rsidP="002B0F75">
      <w:pPr>
        <w:suppressAutoHyphens/>
        <w:overflowPunct w:val="0"/>
        <w:spacing w:after="247" w:line="360" w:lineRule="auto"/>
        <w:ind w:left="-5" w:hanging="10"/>
        <w:rPr>
          <w:rFonts w:ascii="Cambria" w:eastAsia="Calibri" w:hAnsi="Cambria" w:cs="Calibri"/>
          <w:b/>
          <w:bCs/>
          <w:color w:val="000000"/>
          <w:sz w:val="24"/>
          <w:szCs w:val="24"/>
        </w:rPr>
      </w:pPr>
      <w:r w:rsidRPr="00CD2F5C">
        <w:rPr>
          <w:rFonts w:ascii="Cambria" w:eastAsia="Calibri" w:hAnsi="Cambria" w:cs="Calibri"/>
          <w:b/>
          <w:bCs/>
          <w:color w:val="000000"/>
          <w:sz w:val="24"/>
          <w:szCs w:val="24"/>
        </w:rPr>
        <w:lastRenderedPageBreak/>
        <w:t>Appendix B. Additional results</w:t>
      </w:r>
    </w:p>
    <w:p w14:paraId="66D74204" w14:textId="77777777" w:rsidR="007B26A4" w:rsidRPr="00CD2F5C" w:rsidRDefault="007B26A4" w:rsidP="002B0F75">
      <w:pPr>
        <w:suppressAutoHyphens/>
        <w:overflowPunct w:val="0"/>
        <w:spacing w:after="247" w:line="360" w:lineRule="auto"/>
        <w:ind w:left="-5" w:hanging="10"/>
        <w:rPr>
          <w:rFonts w:ascii="Cambria" w:eastAsia="Calibri" w:hAnsi="Cambria" w:cs="Calibri"/>
          <w:color w:val="000000"/>
          <w:sz w:val="24"/>
          <w:szCs w:val="24"/>
        </w:rPr>
      </w:pPr>
      <w:r w:rsidRPr="00CD2F5C">
        <w:rPr>
          <w:rFonts w:ascii="Cambria" w:eastAsia="Calibri" w:hAnsi="Cambria" w:cs="Calibri"/>
          <w:color w:val="000000"/>
          <w:sz w:val="24"/>
          <w:szCs w:val="24"/>
        </w:rPr>
        <w:t xml:space="preserve">Stepwise regression was used to select the best fitting model (i.e., the combination of variables and interactions that better explain the dependent variable (Reports of Pain). This is displayed in </w:t>
      </w:r>
      <w:r w:rsidRPr="00CD2F5C">
        <w:rPr>
          <w:rFonts w:ascii="Cambria" w:eastAsia="Calibri" w:hAnsi="Cambria" w:cs="Calibri"/>
          <w:b/>
          <w:bCs/>
          <w:color w:val="000000"/>
          <w:sz w:val="24"/>
          <w:szCs w:val="24"/>
        </w:rPr>
        <w:t>Table S2</w:t>
      </w:r>
      <w:r w:rsidRPr="00CD2F5C">
        <w:rPr>
          <w:rFonts w:ascii="Cambria" w:eastAsia="Calibri" w:hAnsi="Cambria" w:cs="Calibri"/>
          <w:color w:val="000000"/>
          <w:sz w:val="24"/>
          <w:szCs w:val="24"/>
        </w:rPr>
        <w:t>.</w:t>
      </w:r>
    </w:p>
    <w:p w14:paraId="6B0C7395"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b/>
          <w:bCs/>
          <w:sz w:val="24"/>
          <w:szCs w:val="24"/>
        </w:rPr>
        <w:t>Table S2. Poisson regression models: primary objective</w:t>
      </w:r>
    </w:p>
    <w:p w14:paraId="57BB1D0E" w14:textId="77777777" w:rsidR="007B26A4" w:rsidRPr="00CD2F5C" w:rsidRDefault="007B26A4" w:rsidP="002B0F75">
      <w:pPr>
        <w:suppressAutoHyphens/>
        <w:overflowPunct w:val="0"/>
        <w:spacing w:after="247" w:line="360" w:lineRule="auto"/>
        <w:ind w:left="-5" w:hanging="10"/>
        <w:rPr>
          <w:rFonts w:ascii="Cambria" w:eastAsia="Calibri" w:hAnsi="Cambria" w:cs="Arial"/>
          <w:sz w:val="24"/>
          <w:szCs w:val="24"/>
        </w:rPr>
      </w:pPr>
    </w:p>
    <w:tbl>
      <w:tblPr>
        <w:tblW w:w="9270" w:type="dxa"/>
        <w:jc w:val="center"/>
        <w:tblLayout w:type="fixed"/>
        <w:tblCellMar>
          <w:top w:w="55" w:type="dxa"/>
          <w:left w:w="55" w:type="dxa"/>
          <w:bottom w:w="55" w:type="dxa"/>
          <w:right w:w="55" w:type="dxa"/>
        </w:tblCellMar>
        <w:tblLook w:val="04A0" w:firstRow="1" w:lastRow="0" w:firstColumn="1" w:lastColumn="0" w:noHBand="0" w:noVBand="1"/>
      </w:tblPr>
      <w:tblGrid>
        <w:gridCol w:w="3236"/>
        <w:gridCol w:w="990"/>
        <w:gridCol w:w="990"/>
        <w:gridCol w:w="991"/>
        <w:gridCol w:w="991"/>
        <w:gridCol w:w="991"/>
        <w:gridCol w:w="1081"/>
      </w:tblGrid>
      <w:tr w:rsidR="007B26A4" w:rsidRPr="00CD2F5C" w14:paraId="45CAAFEB" w14:textId="77777777" w:rsidTr="00BF4B86">
        <w:trPr>
          <w:trHeight w:val="259"/>
          <w:jc w:val="center"/>
        </w:trPr>
        <w:tc>
          <w:tcPr>
            <w:tcW w:w="3235" w:type="dxa"/>
            <w:vMerge w:val="restart"/>
            <w:tcBorders>
              <w:top w:val="single" w:sz="4" w:space="0" w:color="auto"/>
              <w:left w:val="nil"/>
              <w:bottom w:val="single" w:sz="4" w:space="0" w:color="auto"/>
              <w:right w:val="nil"/>
            </w:tcBorders>
            <w:vAlign w:val="center"/>
            <w:hideMark/>
          </w:tcPr>
          <w:p w14:paraId="40567ABA"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Variable</w:t>
            </w:r>
          </w:p>
        </w:tc>
        <w:tc>
          <w:tcPr>
            <w:tcW w:w="990" w:type="dxa"/>
            <w:vMerge w:val="restart"/>
            <w:tcBorders>
              <w:top w:val="single" w:sz="4" w:space="0" w:color="auto"/>
              <w:left w:val="nil"/>
              <w:bottom w:val="single" w:sz="4" w:space="0" w:color="auto"/>
              <w:right w:val="nil"/>
            </w:tcBorders>
            <w:vAlign w:val="center"/>
            <w:hideMark/>
          </w:tcPr>
          <w:p w14:paraId="50AF06D7"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β</w:t>
            </w:r>
          </w:p>
        </w:tc>
        <w:tc>
          <w:tcPr>
            <w:tcW w:w="1980" w:type="dxa"/>
            <w:gridSpan w:val="2"/>
            <w:tcBorders>
              <w:top w:val="single" w:sz="4" w:space="0" w:color="auto"/>
              <w:left w:val="nil"/>
              <w:bottom w:val="nil"/>
              <w:right w:val="nil"/>
            </w:tcBorders>
            <w:vAlign w:val="center"/>
            <w:hideMark/>
          </w:tcPr>
          <w:p w14:paraId="65A634B4"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95% CI</w:t>
            </w:r>
          </w:p>
        </w:tc>
        <w:tc>
          <w:tcPr>
            <w:tcW w:w="990" w:type="dxa"/>
            <w:vMerge w:val="restart"/>
            <w:tcBorders>
              <w:top w:val="single" w:sz="4" w:space="0" w:color="auto"/>
              <w:left w:val="nil"/>
              <w:bottom w:val="single" w:sz="4" w:space="0" w:color="auto"/>
              <w:right w:val="nil"/>
            </w:tcBorders>
            <w:vAlign w:val="center"/>
            <w:hideMark/>
          </w:tcPr>
          <w:p w14:paraId="3440CBFC"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Std. Error</w:t>
            </w:r>
          </w:p>
        </w:tc>
        <w:tc>
          <w:tcPr>
            <w:tcW w:w="990" w:type="dxa"/>
            <w:vMerge w:val="restart"/>
            <w:tcBorders>
              <w:top w:val="single" w:sz="4" w:space="0" w:color="auto"/>
              <w:left w:val="nil"/>
              <w:bottom w:val="single" w:sz="4" w:space="0" w:color="auto"/>
              <w:right w:val="nil"/>
            </w:tcBorders>
            <w:vAlign w:val="center"/>
            <w:hideMark/>
          </w:tcPr>
          <w:p w14:paraId="34DE6048"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z value</w:t>
            </w:r>
          </w:p>
        </w:tc>
        <w:tc>
          <w:tcPr>
            <w:tcW w:w="1080" w:type="dxa"/>
            <w:vMerge w:val="restart"/>
            <w:tcBorders>
              <w:top w:val="single" w:sz="4" w:space="0" w:color="auto"/>
              <w:left w:val="nil"/>
              <w:bottom w:val="single" w:sz="4" w:space="0" w:color="auto"/>
              <w:right w:val="nil"/>
            </w:tcBorders>
            <w:vAlign w:val="center"/>
            <w:hideMark/>
          </w:tcPr>
          <w:p w14:paraId="52208CE9"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i/>
                <w:iCs/>
                <w:sz w:val="24"/>
                <w:szCs w:val="24"/>
              </w:rPr>
              <w:t>P</w:t>
            </w:r>
            <w:r w:rsidRPr="00CD2F5C">
              <w:rPr>
                <w:rFonts w:ascii="Cambria" w:eastAsia="Calibri" w:hAnsi="Cambria" w:cs="Arial"/>
                <w:b/>
                <w:bCs/>
                <w:sz w:val="24"/>
                <w:szCs w:val="24"/>
              </w:rPr>
              <w:t>-value</w:t>
            </w:r>
          </w:p>
        </w:tc>
      </w:tr>
      <w:tr w:rsidR="007B26A4" w:rsidRPr="00CD2F5C" w14:paraId="33BF3CC3" w14:textId="77777777" w:rsidTr="00BF4B86">
        <w:trPr>
          <w:trHeight w:val="169"/>
          <w:jc w:val="center"/>
        </w:trPr>
        <w:tc>
          <w:tcPr>
            <w:tcW w:w="3235" w:type="dxa"/>
            <w:vMerge/>
            <w:tcBorders>
              <w:top w:val="single" w:sz="4" w:space="0" w:color="auto"/>
              <w:left w:val="nil"/>
              <w:bottom w:val="single" w:sz="4" w:space="0" w:color="auto"/>
              <w:right w:val="nil"/>
            </w:tcBorders>
            <w:vAlign w:val="center"/>
            <w:hideMark/>
          </w:tcPr>
          <w:p w14:paraId="0BCBAC15" w14:textId="77777777" w:rsidR="007B26A4" w:rsidRPr="00CD2F5C" w:rsidRDefault="007B26A4" w:rsidP="002B0F75">
            <w:pPr>
              <w:spacing w:after="0" w:line="360" w:lineRule="auto"/>
              <w:rPr>
                <w:rFonts w:ascii="Cambria" w:eastAsia="Calibri" w:hAnsi="Cambria" w:cs="Arial"/>
                <w:b/>
                <w:bCs/>
                <w:sz w:val="24"/>
                <w:szCs w:val="24"/>
              </w:rPr>
            </w:pPr>
          </w:p>
        </w:tc>
        <w:tc>
          <w:tcPr>
            <w:tcW w:w="990" w:type="dxa"/>
            <w:vMerge/>
            <w:tcBorders>
              <w:top w:val="single" w:sz="4" w:space="0" w:color="auto"/>
              <w:left w:val="nil"/>
              <w:bottom w:val="single" w:sz="4" w:space="0" w:color="auto"/>
              <w:right w:val="nil"/>
            </w:tcBorders>
            <w:vAlign w:val="center"/>
            <w:hideMark/>
          </w:tcPr>
          <w:p w14:paraId="1F954FB6" w14:textId="77777777" w:rsidR="007B26A4" w:rsidRPr="00CD2F5C" w:rsidRDefault="007B26A4" w:rsidP="002B0F75">
            <w:pPr>
              <w:spacing w:after="0" w:line="360" w:lineRule="auto"/>
              <w:rPr>
                <w:rFonts w:ascii="Cambria" w:eastAsia="Calibri" w:hAnsi="Cambria" w:cs="Arial"/>
                <w:b/>
                <w:bCs/>
                <w:sz w:val="24"/>
                <w:szCs w:val="24"/>
              </w:rPr>
            </w:pPr>
          </w:p>
        </w:tc>
        <w:tc>
          <w:tcPr>
            <w:tcW w:w="990" w:type="dxa"/>
            <w:tcBorders>
              <w:top w:val="nil"/>
              <w:left w:val="nil"/>
              <w:bottom w:val="single" w:sz="4" w:space="0" w:color="auto"/>
              <w:right w:val="nil"/>
            </w:tcBorders>
            <w:vAlign w:val="center"/>
            <w:hideMark/>
          </w:tcPr>
          <w:p w14:paraId="3E1FC7CB"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Low</w:t>
            </w:r>
          </w:p>
        </w:tc>
        <w:tc>
          <w:tcPr>
            <w:tcW w:w="990" w:type="dxa"/>
            <w:tcBorders>
              <w:top w:val="nil"/>
              <w:left w:val="nil"/>
              <w:bottom w:val="single" w:sz="4" w:space="0" w:color="auto"/>
              <w:right w:val="nil"/>
            </w:tcBorders>
            <w:vAlign w:val="center"/>
            <w:hideMark/>
          </w:tcPr>
          <w:p w14:paraId="644085F2"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Upper</w:t>
            </w:r>
          </w:p>
        </w:tc>
        <w:tc>
          <w:tcPr>
            <w:tcW w:w="990" w:type="dxa"/>
            <w:vMerge/>
            <w:tcBorders>
              <w:top w:val="single" w:sz="4" w:space="0" w:color="auto"/>
              <w:left w:val="nil"/>
              <w:bottom w:val="single" w:sz="4" w:space="0" w:color="auto"/>
              <w:right w:val="nil"/>
            </w:tcBorders>
            <w:vAlign w:val="center"/>
            <w:hideMark/>
          </w:tcPr>
          <w:p w14:paraId="1A5F6E88" w14:textId="77777777" w:rsidR="007B26A4" w:rsidRPr="00CD2F5C" w:rsidRDefault="007B26A4" w:rsidP="002B0F75">
            <w:pPr>
              <w:spacing w:after="0" w:line="360" w:lineRule="auto"/>
              <w:rPr>
                <w:rFonts w:ascii="Cambria" w:eastAsia="Calibri" w:hAnsi="Cambria" w:cs="Arial"/>
                <w:b/>
                <w:bCs/>
                <w:sz w:val="24"/>
                <w:szCs w:val="24"/>
              </w:rPr>
            </w:pPr>
          </w:p>
        </w:tc>
        <w:tc>
          <w:tcPr>
            <w:tcW w:w="990" w:type="dxa"/>
            <w:vMerge/>
            <w:tcBorders>
              <w:top w:val="single" w:sz="4" w:space="0" w:color="auto"/>
              <w:left w:val="nil"/>
              <w:bottom w:val="single" w:sz="4" w:space="0" w:color="auto"/>
              <w:right w:val="nil"/>
            </w:tcBorders>
            <w:vAlign w:val="center"/>
            <w:hideMark/>
          </w:tcPr>
          <w:p w14:paraId="5A20142C" w14:textId="77777777" w:rsidR="007B26A4" w:rsidRPr="00CD2F5C" w:rsidRDefault="007B26A4" w:rsidP="002B0F75">
            <w:pPr>
              <w:spacing w:after="0" w:line="360" w:lineRule="auto"/>
              <w:rPr>
                <w:rFonts w:ascii="Cambria" w:eastAsia="Calibri" w:hAnsi="Cambria" w:cs="Arial"/>
                <w:b/>
                <w:bCs/>
                <w:sz w:val="24"/>
                <w:szCs w:val="24"/>
              </w:rPr>
            </w:pPr>
          </w:p>
        </w:tc>
        <w:tc>
          <w:tcPr>
            <w:tcW w:w="1080" w:type="dxa"/>
            <w:vMerge/>
            <w:tcBorders>
              <w:top w:val="single" w:sz="4" w:space="0" w:color="auto"/>
              <w:left w:val="nil"/>
              <w:bottom w:val="single" w:sz="4" w:space="0" w:color="auto"/>
              <w:right w:val="nil"/>
            </w:tcBorders>
            <w:vAlign w:val="center"/>
            <w:hideMark/>
          </w:tcPr>
          <w:p w14:paraId="1BB2C1BD" w14:textId="77777777" w:rsidR="007B26A4" w:rsidRPr="00CD2F5C" w:rsidRDefault="007B26A4" w:rsidP="002B0F75">
            <w:pPr>
              <w:spacing w:after="0" w:line="360" w:lineRule="auto"/>
              <w:rPr>
                <w:rFonts w:ascii="Cambria" w:eastAsia="Calibri" w:hAnsi="Cambria" w:cs="Arial"/>
                <w:b/>
                <w:bCs/>
                <w:sz w:val="24"/>
                <w:szCs w:val="24"/>
              </w:rPr>
            </w:pPr>
          </w:p>
        </w:tc>
      </w:tr>
      <w:tr w:rsidR="007B26A4" w:rsidRPr="00CD2F5C" w14:paraId="3F2B644B" w14:textId="77777777" w:rsidTr="00BF4B86">
        <w:trPr>
          <w:trHeight w:val="365"/>
          <w:jc w:val="center"/>
        </w:trPr>
        <w:tc>
          <w:tcPr>
            <w:tcW w:w="3235" w:type="dxa"/>
            <w:tcBorders>
              <w:top w:val="single" w:sz="4" w:space="0" w:color="auto"/>
              <w:left w:val="nil"/>
              <w:bottom w:val="nil"/>
              <w:right w:val="nil"/>
            </w:tcBorders>
            <w:tcMar>
              <w:top w:w="0" w:type="dxa"/>
              <w:left w:w="30" w:type="dxa"/>
              <w:bottom w:w="0" w:type="dxa"/>
              <w:right w:w="30" w:type="dxa"/>
            </w:tcMar>
            <w:vAlign w:val="center"/>
            <w:hideMark/>
          </w:tcPr>
          <w:p w14:paraId="4A8ADB28"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(Intercept)</w:t>
            </w:r>
          </w:p>
        </w:tc>
        <w:tc>
          <w:tcPr>
            <w:tcW w:w="990" w:type="dxa"/>
            <w:tcBorders>
              <w:top w:val="single" w:sz="4" w:space="0" w:color="auto"/>
              <w:left w:val="nil"/>
              <w:bottom w:val="nil"/>
              <w:right w:val="nil"/>
            </w:tcBorders>
            <w:tcMar>
              <w:top w:w="0" w:type="dxa"/>
              <w:left w:w="30" w:type="dxa"/>
              <w:bottom w:w="0" w:type="dxa"/>
              <w:right w:w="30" w:type="dxa"/>
            </w:tcMar>
            <w:vAlign w:val="center"/>
            <w:hideMark/>
          </w:tcPr>
          <w:p w14:paraId="4C0670F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0.5612</w:t>
            </w:r>
          </w:p>
        </w:tc>
        <w:tc>
          <w:tcPr>
            <w:tcW w:w="990" w:type="dxa"/>
            <w:tcBorders>
              <w:top w:val="single" w:sz="4" w:space="0" w:color="auto"/>
              <w:left w:val="nil"/>
              <w:bottom w:val="nil"/>
              <w:right w:val="nil"/>
            </w:tcBorders>
            <w:tcMar>
              <w:top w:w="0" w:type="dxa"/>
              <w:left w:w="30" w:type="dxa"/>
              <w:bottom w:w="0" w:type="dxa"/>
              <w:right w:w="30" w:type="dxa"/>
            </w:tcMar>
            <w:vAlign w:val="center"/>
            <w:hideMark/>
          </w:tcPr>
          <w:p w14:paraId="2E2868A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0.5141</w:t>
            </w:r>
          </w:p>
        </w:tc>
        <w:tc>
          <w:tcPr>
            <w:tcW w:w="990" w:type="dxa"/>
            <w:tcBorders>
              <w:top w:val="single" w:sz="4" w:space="0" w:color="auto"/>
              <w:left w:val="nil"/>
              <w:bottom w:val="nil"/>
              <w:right w:val="nil"/>
            </w:tcBorders>
            <w:tcMar>
              <w:top w:w="0" w:type="dxa"/>
              <w:left w:w="30" w:type="dxa"/>
              <w:bottom w:w="0" w:type="dxa"/>
              <w:right w:w="30" w:type="dxa"/>
            </w:tcMar>
            <w:vAlign w:val="center"/>
            <w:hideMark/>
          </w:tcPr>
          <w:p w14:paraId="5F42CB7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0.6083</w:t>
            </w:r>
          </w:p>
        </w:tc>
        <w:tc>
          <w:tcPr>
            <w:tcW w:w="990" w:type="dxa"/>
            <w:tcBorders>
              <w:top w:val="single" w:sz="4" w:space="0" w:color="auto"/>
              <w:left w:val="nil"/>
              <w:bottom w:val="nil"/>
              <w:right w:val="nil"/>
            </w:tcBorders>
            <w:tcMar>
              <w:top w:w="0" w:type="dxa"/>
              <w:left w:w="30" w:type="dxa"/>
              <w:bottom w:w="0" w:type="dxa"/>
              <w:right w:w="30" w:type="dxa"/>
            </w:tcMar>
            <w:vAlign w:val="center"/>
            <w:hideMark/>
          </w:tcPr>
          <w:p w14:paraId="2084926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0.0240</w:t>
            </w:r>
          </w:p>
        </w:tc>
        <w:tc>
          <w:tcPr>
            <w:tcW w:w="990" w:type="dxa"/>
            <w:tcBorders>
              <w:top w:val="single" w:sz="4" w:space="0" w:color="auto"/>
              <w:left w:val="nil"/>
              <w:bottom w:val="nil"/>
              <w:right w:val="nil"/>
            </w:tcBorders>
            <w:tcMar>
              <w:top w:w="0" w:type="dxa"/>
              <w:left w:w="30" w:type="dxa"/>
              <w:bottom w:w="0" w:type="dxa"/>
              <w:right w:w="30" w:type="dxa"/>
            </w:tcMar>
            <w:vAlign w:val="center"/>
            <w:hideMark/>
          </w:tcPr>
          <w:p w14:paraId="18F19B7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23.361</w:t>
            </w:r>
          </w:p>
        </w:tc>
        <w:tc>
          <w:tcPr>
            <w:tcW w:w="1080" w:type="dxa"/>
            <w:tcBorders>
              <w:top w:val="single" w:sz="4" w:space="0" w:color="auto"/>
              <w:left w:val="nil"/>
              <w:bottom w:val="nil"/>
              <w:right w:val="nil"/>
            </w:tcBorders>
            <w:tcMar>
              <w:top w:w="0" w:type="dxa"/>
              <w:left w:w="30" w:type="dxa"/>
              <w:bottom w:w="0" w:type="dxa"/>
              <w:right w:w="30" w:type="dxa"/>
            </w:tcMar>
            <w:vAlign w:val="center"/>
            <w:hideMark/>
          </w:tcPr>
          <w:p w14:paraId="07E6DFF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&lt; 0.001</w:t>
            </w:r>
          </w:p>
        </w:tc>
      </w:tr>
      <w:tr w:rsidR="007B26A4" w:rsidRPr="00CD2F5C" w14:paraId="3009FC2F" w14:textId="77777777" w:rsidTr="00BF4B86">
        <w:trPr>
          <w:trHeight w:val="375"/>
          <w:jc w:val="center"/>
        </w:trPr>
        <w:tc>
          <w:tcPr>
            <w:tcW w:w="3235" w:type="dxa"/>
            <w:tcMar>
              <w:top w:w="0" w:type="dxa"/>
              <w:left w:w="30" w:type="dxa"/>
              <w:bottom w:w="0" w:type="dxa"/>
              <w:right w:w="30" w:type="dxa"/>
            </w:tcMar>
            <w:vAlign w:val="bottom"/>
            <w:hideMark/>
          </w:tcPr>
          <w:p w14:paraId="7EB36F5A"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ProfessionalInfoAnxietyYes</w:t>
            </w:r>
            <w:proofErr w:type="spellEnd"/>
          </w:p>
        </w:tc>
        <w:tc>
          <w:tcPr>
            <w:tcW w:w="990" w:type="dxa"/>
            <w:tcMar>
              <w:top w:w="0" w:type="dxa"/>
              <w:left w:w="30" w:type="dxa"/>
              <w:bottom w:w="0" w:type="dxa"/>
              <w:right w:w="30" w:type="dxa"/>
            </w:tcMar>
            <w:vAlign w:val="center"/>
            <w:hideMark/>
          </w:tcPr>
          <w:p w14:paraId="44C3D54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0.0604</w:t>
            </w:r>
          </w:p>
        </w:tc>
        <w:tc>
          <w:tcPr>
            <w:tcW w:w="990" w:type="dxa"/>
            <w:tcMar>
              <w:top w:w="0" w:type="dxa"/>
              <w:left w:w="30" w:type="dxa"/>
              <w:bottom w:w="0" w:type="dxa"/>
              <w:right w:w="30" w:type="dxa"/>
            </w:tcMar>
            <w:vAlign w:val="center"/>
            <w:hideMark/>
          </w:tcPr>
          <w:p w14:paraId="27DA72F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0.0312</w:t>
            </w:r>
          </w:p>
        </w:tc>
        <w:tc>
          <w:tcPr>
            <w:tcW w:w="990" w:type="dxa"/>
            <w:tcMar>
              <w:top w:w="0" w:type="dxa"/>
              <w:left w:w="30" w:type="dxa"/>
              <w:bottom w:w="0" w:type="dxa"/>
              <w:right w:w="30" w:type="dxa"/>
            </w:tcMar>
            <w:vAlign w:val="center"/>
            <w:hideMark/>
          </w:tcPr>
          <w:p w14:paraId="027A3E7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0.0894</w:t>
            </w:r>
          </w:p>
        </w:tc>
        <w:tc>
          <w:tcPr>
            <w:tcW w:w="990" w:type="dxa"/>
            <w:tcMar>
              <w:top w:w="0" w:type="dxa"/>
              <w:left w:w="30" w:type="dxa"/>
              <w:bottom w:w="0" w:type="dxa"/>
              <w:right w:w="30" w:type="dxa"/>
            </w:tcMar>
            <w:vAlign w:val="center"/>
            <w:hideMark/>
          </w:tcPr>
          <w:p w14:paraId="26BAF39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0.0148</w:t>
            </w:r>
          </w:p>
        </w:tc>
        <w:tc>
          <w:tcPr>
            <w:tcW w:w="990" w:type="dxa"/>
            <w:tcMar>
              <w:top w:w="0" w:type="dxa"/>
              <w:left w:w="30" w:type="dxa"/>
              <w:bottom w:w="0" w:type="dxa"/>
              <w:right w:w="30" w:type="dxa"/>
            </w:tcMar>
            <w:vAlign w:val="center"/>
            <w:hideMark/>
          </w:tcPr>
          <w:p w14:paraId="6D1F763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4.066</w:t>
            </w:r>
          </w:p>
        </w:tc>
        <w:tc>
          <w:tcPr>
            <w:tcW w:w="1080" w:type="dxa"/>
            <w:tcMar>
              <w:top w:w="0" w:type="dxa"/>
              <w:left w:w="30" w:type="dxa"/>
              <w:bottom w:w="0" w:type="dxa"/>
              <w:right w:w="30" w:type="dxa"/>
            </w:tcMar>
            <w:vAlign w:val="center"/>
            <w:hideMark/>
          </w:tcPr>
          <w:p w14:paraId="6B081491"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&lt; 0.001</w:t>
            </w:r>
          </w:p>
        </w:tc>
      </w:tr>
      <w:tr w:rsidR="007B26A4" w:rsidRPr="00CD2F5C" w14:paraId="533B1B7F" w14:textId="77777777" w:rsidTr="00BF4B86">
        <w:trPr>
          <w:trHeight w:val="375"/>
          <w:jc w:val="center"/>
        </w:trPr>
        <w:tc>
          <w:tcPr>
            <w:tcW w:w="3235" w:type="dxa"/>
            <w:tcMar>
              <w:top w:w="0" w:type="dxa"/>
              <w:left w:w="30" w:type="dxa"/>
              <w:bottom w:w="0" w:type="dxa"/>
              <w:right w:w="30" w:type="dxa"/>
            </w:tcMar>
            <w:vAlign w:val="bottom"/>
            <w:hideMark/>
          </w:tcPr>
          <w:p w14:paraId="0A1C5425"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TroubleRelaxing</w:t>
            </w:r>
            <w:proofErr w:type="spellEnd"/>
          </w:p>
        </w:tc>
        <w:tc>
          <w:tcPr>
            <w:tcW w:w="990" w:type="dxa"/>
            <w:tcMar>
              <w:top w:w="0" w:type="dxa"/>
              <w:left w:w="30" w:type="dxa"/>
              <w:bottom w:w="0" w:type="dxa"/>
              <w:right w:w="30" w:type="dxa"/>
            </w:tcMar>
            <w:vAlign w:val="center"/>
            <w:hideMark/>
          </w:tcPr>
          <w:p w14:paraId="7BD4C45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0.0424</w:t>
            </w:r>
          </w:p>
        </w:tc>
        <w:tc>
          <w:tcPr>
            <w:tcW w:w="990" w:type="dxa"/>
            <w:tcMar>
              <w:top w:w="0" w:type="dxa"/>
              <w:left w:w="30" w:type="dxa"/>
              <w:bottom w:w="0" w:type="dxa"/>
              <w:right w:w="30" w:type="dxa"/>
            </w:tcMar>
            <w:vAlign w:val="center"/>
            <w:hideMark/>
          </w:tcPr>
          <w:p w14:paraId="2C7D209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0.0266</w:t>
            </w:r>
          </w:p>
        </w:tc>
        <w:tc>
          <w:tcPr>
            <w:tcW w:w="990" w:type="dxa"/>
            <w:tcMar>
              <w:top w:w="0" w:type="dxa"/>
              <w:left w:w="30" w:type="dxa"/>
              <w:bottom w:w="0" w:type="dxa"/>
              <w:right w:w="30" w:type="dxa"/>
            </w:tcMar>
            <w:vAlign w:val="center"/>
            <w:hideMark/>
          </w:tcPr>
          <w:p w14:paraId="5757F26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0.0581</w:t>
            </w:r>
          </w:p>
        </w:tc>
        <w:tc>
          <w:tcPr>
            <w:tcW w:w="990" w:type="dxa"/>
            <w:tcMar>
              <w:top w:w="0" w:type="dxa"/>
              <w:left w:w="30" w:type="dxa"/>
              <w:bottom w:w="0" w:type="dxa"/>
              <w:right w:w="30" w:type="dxa"/>
            </w:tcMar>
            <w:vAlign w:val="center"/>
            <w:hideMark/>
          </w:tcPr>
          <w:p w14:paraId="63FA75E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0.0081</w:t>
            </w:r>
          </w:p>
        </w:tc>
        <w:tc>
          <w:tcPr>
            <w:tcW w:w="990" w:type="dxa"/>
            <w:tcMar>
              <w:top w:w="0" w:type="dxa"/>
              <w:left w:w="30" w:type="dxa"/>
              <w:bottom w:w="0" w:type="dxa"/>
              <w:right w:w="30" w:type="dxa"/>
            </w:tcMar>
            <w:vAlign w:val="center"/>
            <w:hideMark/>
          </w:tcPr>
          <w:p w14:paraId="1A8A6375"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5.257</w:t>
            </w:r>
          </w:p>
        </w:tc>
        <w:tc>
          <w:tcPr>
            <w:tcW w:w="1080" w:type="dxa"/>
            <w:tcMar>
              <w:top w:w="0" w:type="dxa"/>
              <w:left w:w="30" w:type="dxa"/>
              <w:bottom w:w="0" w:type="dxa"/>
              <w:right w:w="30" w:type="dxa"/>
            </w:tcMar>
            <w:vAlign w:val="center"/>
            <w:hideMark/>
          </w:tcPr>
          <w:p w14:paraId="4A1643FD"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&lt; 0.001</w:t>
            </w:r>
          </w:p>
        </w:tc>
      </w:tr>
      <w:tr w:rsidR="007B26A4" w:rsidRPr="00CD2F5C" w14:paraId="25299128" w14:textId="77777777" w:rsidTr="00BF4B86">
        <w:trPr>
          <w:trHeight w:val="375"/>
          <w:jc w:val="center"/>
        </w:trPr>
        <w:tc>
          <w:tcPr>
            <w:tcW w:w="3235" w:type="dxa"/>
            <w:tcMar>
              <w:top w:w="0" w:type="dxa"/>
              <w:left w:w="30" w:type="dxa"/>
              <w:bottom w:w="0" w:type="dxa"/>
              <w:right w:w="30" w:type="dxa"/>
            </w:tcMar>
            <w:vAlign w:val="bottom"/>
            <w:hideMark/>
          </w:tcPr>
          <w:p w14:paraId="1D9AC822"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MuscleSymptomsAnxietyYes</w:t>
            </w:r>
            <w:proofErr w:type="spellEnd"/>
          </w:p>
        </w:tc>
        <w:tc>
          <w:tcPr>
            <w:tcW w:w="990" w:type="dxa"/>
            <w:tcMar>
              <w:top w:w="0" w:type="dxa"/>
              <w:left w:w="30" w:type="dxa"/>
              <w:bottom w:w="0" w:type="dxa"/>
              <w:right w:w="30" w:type="dxa"/>
            </w:tcMar>
            <w:vAlign w:val="center"/>
            <w:hideMark/>
          </w:tcPr>
          <w:p w14:paraId="55FC708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0.1937</w:t>
            </w:r>
          </w:p>
        </w:tc>
        <w:tc>
          <w:tcPr>
            <w:tcW w:w="990" w:type="dxa"/>
            <w:tcMar>
              <w:top w:w="0" w:type="dxa"/>
              <w:left w:w="30" w:type="dxa"/>
              <w:bottom w:w="0" w:type="dxa"/>
              <w:right w:w="30" w:type="dxa"/>
            </w:tcMar>
            <w:vAlign w:val="center"/>
            <w:hideMark/>
          </w:tcPr>
          <w:p w14:paraId="5075E361"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0.1626</w:t>
            </w:r>
          </w:p>
        </w:tc>
        <w:tc>
          <w:tcPr>
            <w:tcW w:w="990" w:type="dxa"/>
            <w:tcMar>
              <w:top w:w="0" w:type="dxa"/>
              <w:left w:w="30" w:type="dxa"/>
              <w:bottom w:w="0" w:type="dxa"/>
              <w:right w:w="30" w:type="dxa"/>
            </w:tcMar>
            <w:vAlign w:val="center"/>
            <w:hideMark/>
          </w:tcPr>
          <w:p w14:paraId="55A0CF23"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0.2246</w:t>
            </w:r>
          </w:p>
        </w:tc>
        <w:tc>
          <w:tcPr>
            <w:tcW w:w="990" w:type="dxa"/>
            <w:tcMar>
              <w:top w:w="0" w:type="dxa"/>
              <w:left w:w="30" w:type="dxa"/>
              <w:bottom w:w="0" w:type="dxa"/>
              <w:right w:w="30" w:type="dxa"/>
            </w:tcMar>
            <w:vAlign w:val="center"/>
            <w:hideMark/>
          </w:tcPr>
          <w:p w14:paraId="153755D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0.0158</w:t>
            </w:r>
          </w:p>
        </w:tc>
        <w:tc>
          <w:tcPr>
            <w:tcW w:w="990" w:type="dxa"/>
            <w:tcMar>
              <w:top w:w="0" w:type="dxa"/>
              <w:left w:w="30" w:type="dxa"/>
              <w:bottom w:w="0" w:type="dxa"/>
              <w:right w:w="30" w:type="dxa"/>
            </w:tcMar>
            <w:vAlign w:val="center"/>
            <w:hideMark/>
          </w:tcPr>
          <w:p w14:paraId="06E4268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12.266</w:t>
            </w:r>
          </w:p>
        </w:tc>
        <w:tc>
          <w:tcPr>
            <w:tcW w:w="1080" w:type="dxa"/>
            <w:tcMar>
              <w:top w:w="0" w:type="dxa"/>
              <w:left w:w="30" w:type="dxa"/>
              <w:bottom w:w="0" w:type="dxa"/>
              <w:right w:w="30" w:type="dxa"/>
            </w:tcMar>
            <w:vAlign w:val="center"/>
            <w:hideMark/>
          </w:tcPr>
          <w:p w14:paraId="79A7606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&lt; 0.001</w:t>
            </w:r>
          </w:p>
        </w:tc>
      </w:tr>
      <w:tr w:rsidR="007B26A4" w:rsidRPr="00CD2F5C" w14:paraId="50B9DA43" w14:textId="77777777" w:rsidTr="00BF4B86">
        <w:trPr>
          <w:trHeight w:val="375"/>
          <w:jc w:val="center"/>
        </w:trPr>
        <w:tc>
          <w:tcPr>
            <w:tcW w:w="3235" w:type="dxa"/>
            <w:tcMar>
              <w:top w:w="0" w:type="dxa"/>
              <w:left w:w="30" w:type="dxa"/>
              <w:bottom w:w="0" w:type="dxa"/>
              <w:right w:w="30" w:type="dxa"/>
            </w:tcMar>
            <w:vAlign w:val="bottom"/>
            <w:hideMark/>
          </w:tcPr>
          <w:p w14:paraId="46B26141"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FeltHated</w:t>
            </w:r>
            <w:proofErr w:type="spellEnd"/>
          </w:p>
        </w:tc>
        <w:tc>
          <w:tcPr>
            <w:tcW w:w="990" w:type="dxa"/>
            <w:tcMar>
              <w:top w:w="0" w:type="dxa"/>
              <w:left w:w="30" w:type="dxa"/>
              <w:bottom w:w="0" w:type="dxa"/>
              <w:right w:w="30" w:type="dxa"/>
            </w:tcMar>
            <w:vAlign w:val="center"/>
            <w:hideMark/>
          </w:tcPr>
          <w:p w14:paraId="4449DD85"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0.0157</w:t>
            </w:r>
          </w:p>
        </w:tc>
        <w:tc>
          <w:tcPr>
            <w:tcW w:w="990" w:type="dxa"/>
            <w:tcMar>
              <w:top w:w="0" w:type="dxa"/>
              <w:left w:w="30" w:type="dxa"/>
              <w:bottom w:w="0" w:type="dxa"/>
              <w:right w:w="30" w:type="dxa"/>
            </w:tcMar>
            <w:vAlign w:val="center"/>
            <w:hideMark/>
          </w:tcPr>
          <w:p w14:paraId="60C4082A"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-0.0003</w:t>
            </w:r>
          </w:p>
        </w:tc>
        <w:tc>
          <w:tcPr>
            <w:tcW w:w="990" w:type="dxa"/>
            <w:tcMar>
              <w:top w:w="0" w:type="dxa"/>
              <w:left w:w="30" w:type="dxa"/>
              <w:bottom w:w="0" w:type="dxa"/>
              <w:right w:w="30" w:type="dxa"/>
            </w:tcMar>
            <w:vAlign w:val="center"/>
            <w:hideMark/>
          </w:tcPr>
          <w:p w14:paraId="5B7A0CB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0.0318</w:t>
            </w:r>
          </w:p>
        </w:tc>
        <w:tc>
          <w:tcPr>
            <w:tcW w:w="990" w:type="dxa"/>
            <w:tcMar>
              <w:top w:w="0" w:type="dxa"/>
              <w:left w:w="30" w:type="dxa"/>
              <w:bottom w:w="0" w:type="dxa"/>
              <w:right w:w="30" w:type="dxa"/>
            </w:tcMar>
            <w:vAlign w:val="center"/>
            <w:hideMark/>
          </w:tcPr>
          <w:p w14:paraId="7446EA6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0.0082</w:t>
            </w:r>
          </w:p>
        </w:tc>
        <w:tc>
          <w:tcPr>
            <w:tcW w:w="990" w:type="dxa"/>
            <w:tcMar>
              <w:top w:w="0" w:type="dxa"/>
              <w:left w:w="30" w:type="dxa"/>
              <w:bottom w:w="0" w:type="dxa"/>
              <w:right w:w="30" w:type="dxa"/>
            </w:tcMar>
            <w:vAlign w:val="center"/>
            <w:hideMark/>
          </w:tcPr>
          <w:p w14:paraId="5F9B390C"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1.915</w:t>
            </w:r>
          </w:p>
        </w:tc>
        <w:tc>
          <w:tcPr>
            <w:tcW w:w="1080" w:type="dxa"/>
            <w:tcMar>
              <w:top w:w="0" w:type="dxa"/>
              <w:left w:w="30" w:type="dxa"/>
              <w:bottom w:w="0" w:type="dxa"/>
              <w:right w:w="30" w:type="dxa"/>
            </w:tcMar>
            <w:vAlign w:val="center"/>
            <w:hideMark/>
          </w:tcPr>
          <w:p w14:paraId="60E87413"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0.055</w:t>
            </w:r>
          </w:p>
        </w:tc>
      </w:tr>
      <w:tr w:rsidR="007B26A4" w:rsidRPr="00CD2F5C" w14:paraId="2337526B" w14:textId="77777777" w:rsidTr="00BF4B86">
        <w:trPr>
          <w:trHeight w:val="365"/>
          <w:jc w:val="center"/>
        </w:trPr>
        <w:tc>
          <w:tcPr>
            <w:tcW w:w="3235" w:type="dxa"/>
            <w:tcMar>
              <w:top w:w="0" w:type="dxa"/>
              <w:left w:w="30" w:type="dxa"/>
              <w:bottom w:w="0" w:type="dxa"/>
              <w:right w:w="30" w:type="dxa"/>
            </w:tcMar>
            <w:vAlign w:val="bottom"/>
            <w:hideMark/>
          </w:tcPr>
          <w:p w14:paraId="04F7229F"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PhysicallyAbused</w:t>
            </w:r>
            <w:proofErr w:type="spellEnd"/>
          </w:p>
        </w:tc>
        <w:tc>
          <w:tcPr>
            <w:tcW w:w="990" w:type="dxa"/>
            <w:tcMar>
              <w:top w:w="0" w:type="dxa"/>
              <w:left w:w="30" w:type="dxa"/>
              <w:bottom w:w="0" w:type="dxa"/>
              <w:right w:w="30" w:type="dxa"/>
            </w:tcMar>
            <w:vAlign w:val="center"/>
            <w:hideMark/>
          </w:tcPr>
          <w:p w14:paraId="17F7DEE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0.0300</w:t>
            </w:r>
          </w:p>
        </w:tc>
        <w:tc>
          <w:tcPr>
            <w:tcW w:w="990" w:type="dxa"/>
            <w:tcMar>
              <w:top w:w="0" w:type="dxa"/>
              <w:left w:w="30" w:type="dxa"/>
              <w:bottom w:w="0" w:type="dxa"/>
              <w:right w:w="30" w:type="dxa"/>
            </w:tcMar>
            <w:vAlign w:val="center"/>
            <w:hideMark/>
          </w:tcPr>
          <w:p w14:paraId="1B2F96D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0.0180</w:t>
            </w:r>
          </w:p>
        </w:tc>
        <w:tc>
          <w:tcPr>
            <w:tcW w:w="990" w:type="dxa"/>
            <w:tcMar>
              <w:top w:w="0" w:type="dxa"/>
              <w:left w:w="30" w:type="dxa"/>
              <w:bottom w:w="0" w:type="dxa"/>
              <w:right w:w="30" w:type="dxa"/>
            </w:tcMar>
            <w:vAlign w:val="center"/>
            <w:hideMark/>
          </w:tcPr>
          <w:p w14:paraId="0BBA9C2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0.0420</w:t>
            </w:r>
          </w:p>
        </w:tc>
        <w:tc>
          <w:tcPr>
            <w:tcW w:w="990" w:type="dxa"/>
            <w:tcMar>
              <w:top w:w="0" w:type="dxa"/>
              <w:left w:w="30" w:type="dxa"/>
              <w:bottom w:w="0" w:type="dxa"/>
              <w:right w:w="30" w:type="dxa"/>
            </w:tcMar>
            <w:vAlign w:val="center"/>
            <w:hideMark/>
          </w:tcPr>
          <w:p w14:paraId="1105938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0.0061</w:t>
            </w:r>
          </w:p>
        </w:tc>
        <w:tc>
          <w:tcPr>
            <w:tcW w:w="990" w:type="dxa"/>
            <w:tcMar>
              <w:top w:w="0" w:type="dxa"/>
              <w:left w:w="30" w:type="dxa"/>
              <w:bottom w:w="0" w:type="dxa"/>
              <w:right w:w="30" w:type="dxa"/>
            </w:tcMar>
            <w:vAlign w:val="center"/>
            <w:hideMark/>
          </w:tcPr>
          <w:p w14:paraId="1DF8A810"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4.912</w:t>
            </w:r>
          </w:p>
        </w:tc>
        <w:tc>
          <w:tcPr>
            <w:tcW w:w="1080" w:type="dxa"/>
            <w:tcMar>
              <w:top w:w="0" w:type="dxa"/>
              <w:left w:w="30" w:type="dxa"/>
              <w:bottom w:w="0" w:type="dxa"/>
              <w:right w:w="30" w:type="dxa"/>
            </w:tcMar>
            <w:vAlign w:val="center"/>
            <w:hideMark/>
          </w:tcPr>
          <w:p w14:paraId="67542C60"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&lt; 0.001</w:t>
            </w:r>
          </w:p>
        </w:tc>
      </w:tr>
      <w:tr w:rsidR="007B26A4" w:rsidRPr="00CD2F5C" w14:paraId="30B6BC2C" w14:textId="77777777" w:rsidTr="00BF4B86">
        <w:trPr>
          <w:trHeight w:val="375"/>
          <w:jc w:val="center"/>
        </w:trPr>
        <w:tc>
          <w:tcPr>
            <w:tcW w:w="3235" w:type="dxa"/>
            <w:tcMar>
              <w:top w:w="0" w:type="dxa"/>
              <w:left w:w="30" w:type="dxa"/>
              <w:bottom w:w="0" w:type="dxa"/>
              <w:right w:w="30" w:type="dxa"/>
            </w:tcMar>
            <w:vAlign w:val="bottom"/>
            <w:hideMark/>
          </w:tcPr>
          <w:p w14:paraId="1C6189CC"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SexuallyAbused</w:t>
            </w:r>
            <w:proofErr w:type="spellEnd"/>
          </w:p>
        </w:tc>
        <w:tc>
          <w:tcPr>
            <w:tcW w:w="990" w:type="dxa"/>
            <w:tcMar>
              <w:top w:w="0" w:type="dxa"/>
              <w:left w:w="30" w:type="dxa"/>
              <w:bottom w:w="0" w:type="dxa"/>
              <w:right w:w="30" w:type="dxa"/>
            </w:tcMar>
            <w:vAlign w:val="center"/>
            <w:hideMark/>
          </w:tcPr>
          <w:p w14:paraId="64F0100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0.0076</w:t>
            </w:r>
          </w:p>
        </w:tc>
        <w:tc>
          <w:tcPr>
            <w:tcW w:w="990" w:type="dxa"/>
            <w:tcMar>
              <w:top w:w="0" w:type="dxa"/>
              <w:left w:w="30" w:type="dxa"/>
              <w:bottom w:w="0" w:type="dxa"/>
              <w:right w:w="30" w:type="dxa"/>
            </w:tcMar>
            <w:vAlign w:val="center"/>
            <w:hideMark/>
          </w:tcPr>
          <w:p w14:paraId="68A4C4B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-0.0137</w:t>
            </w:r>
          </w:p>
        </w:tc>
        <w:tc>
          <w:tcPr>
            <w:tcW w:w="990" w:type="dxa"/>
            <w:tcMar>
              <w:top w:w="0" w:type="dxa"/>
              <w:left w:w="30" w:type="dxa"/>
              <w:bottom w:w="0" w:type="dxa"/>
              <w:right w:w="30" w:type="dxa"/>
            </w:tcMar>
            <w:vAlign w:val="center"/>
            <w:hideMark/>
          </w:tcPr>
          <w:p w14:paraId="141BCCA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0.0289</w:t>
            </w:r>
          </w:p>
        </w:tc>
        <w:tc>
          <w:tcPr>
            <w:tcW w:w="990" w:type="dxa"/>
            <w:tcMar>
              <w:top w:w="0" w:type="dxa"/>
              <w:left w:w="30" w:type="dxa"/>
              <w:bottom w:w="0" w:type="dxa"/>
              <w:right w:w="30" w:type="dxa"/>
            </w:tcMar>
            <w:vAlign w:val="center"/>
            <w:hideMark/>
          </w:tcPr>
          <w:p w14:paraId="09877F5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0.0109</w:t>
            </w:r>
          </w:p>
        </w:tc>
        <w:tc>
          <w:tcPr>
            <w:tcW w:w="990" w:type="dxa"/>
            <w:tcMar>
              <w:top w:w="0" w:type="dxa"/>
              <w:left w:w="30" w:type="dxa"/>
              <w:bottom w:w="0" w:type="dxa"/>
              <w:right w:w="30" w:type="dxa"/>
            </w:tcMar>
            <w:vAlign w:val="center"/>
            <w:hideMark/>
          </w:tcPr>
          <w:p w14:paraId="2E2CB71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0.702</w:t>
            </w:r>
          </w:p>
        </w:tc>
        <w:tc>
          <w:tcPr>
            <w:tcW w:w="1080" w:type="dxa"/>
            <w:tcMar>
              <w:top w:w="0" w:type="dxa"/>
              <w:left w:w="30" w:type="dxa"/>
              <w:bottom w:w="0" w:type="dxa"/>
              <w:right w:w="30" w:type="dxa"/>
            </w:tcMar>
            <w:vAlign w:val="center"/>
            <w:hideMark/>
          </w:tcPr>
          <w:p w14:paraId="0478FE0C"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0.483</w:t>
            </w:r>
          </w:p>
        </w:tc>
      </w:tr>
      <w:tr w:rsidR="007B26A4" w:rsidRPr="00CD2F5C" w14:paraId="70F10786" w14:textId="77777777" w:rsidTr="00BF4B86">
        <w:trPr>
          <w:trHeight w:val="350"/>
          <w:jc w:val="center"/>
        </w:trPr>
        <w:tc>
          <w:tcPr>
            <w:tcW w:w="3235" w:type="dxa"/>
            <w:tcMar>
              <w:top w:w="0" w:type="dxa"/>
              <w:left w:w="30" w:type="dxa"/>
              <w:bottom w:w="0" w:type="dxa"/>
              <w:right w:w="30" w:type="dxa"/>
            </w:tcMar>
            <w:vAlign w:val="bottom"/>
            <w:hideMark/>
          </w:tcPr>
          <w:p w14:paraId="6D5DA518"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FeltLoved</w:t>
            </w:r>
            <w:proofErr w:type="spellEnd"/>
          </w:p>
        </w:tc>
        <w:tc>
          <w:tcPr>
            <w:tcW w:w="990" w:type="dxa"/>
            <w:tcMar>
              <w:top w:w="0" w:type="dxa"/>
              <w:left w:w="30" w:type="dxa"/>
              <w:bottom w:w="0" w:type="dxa"/>
              <w:right w:w="30" w:type="dxa"/>
            </w:tcMar>
            <w:vAlign w:val="center"/>
            <w:hideMark/>
          </w:tcPr>
          <w:p w14:paraId="3C938401"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-0.0101</w:t>
            </w:r>
          </w:p>
        </w:tc>
        <w:tc>
          <w:tcPr>
            <w:tcW w:w="990" w:type="dxa"/>
            <w:tcMar>
              <w:top w:w="0" w:type="dxa"/>
              <w:left w:w="30" w:type="dxa"/>
              <w:bottom w:w="0" w:type="dxa"/>
              <w:right w:w="30" w:type="dxa"/>
            </w:tcMar>
            <w:vAlign w:val="center"/>
            <w:hideMark/>
          </w:tcPr>
          <w:p w14:paraId="023BDEA1"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-0.0192</w:t>
            </w:r>
          </w:p>
        </w:tc>
        <w:tc>
          <w:tcPr>
            <w:tcW w:w="990" w:type="dxa"/>
            <w:tcMar>
              <w:top w:w="0" w:type="dxa"/>
              <w:left w:w="30" w:type="dxa"/>
              <w:bottom w:w="0" w:type="dxa"/>
              <w:right w:w="30" w:type="dxa"/>
            </w:tcMar>
            <w:vAlign w:val="center"/>
            <w:hideMark/>
          </w:tcPr>
          <w:p w14:paraId="4DD865CF"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-0.0011</w:t>
            </w:r>
          </w:p>
        </w:tc>
        <w:tc>
          <w:tcPr>
            <w:tcW w:w="990" w:type="dxa"/>
            <w:tcMar>
              <w:top w:w="0" w:type="dxa"/>
              <w:left w:w="30" w:type="dxa"/>
              <w:bottom w:w="0" w:type="dxa"/>
              <w:right w:w="30" w:type="dxa"/>
            </w:tcMar>
            <w:vAlign w:val="center"/>
            <w:hideMark/>
          </w:tcPr>
          <w:p w14:paraId="01C68D33"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0.0046</w:t>
            </w:r>
          </w:p>
        </w:tc>
        <w:tc>
          <w:tcPr>
            <w:tcW w:w="990" w:type="dxa"/>
            <w:tcMar>
              <w:top w:w="0" w:type="dxa"/>
              <w:left w:w="30" w:type="dxa"/>
              <w:bottom w:w="0" w:type="dxa"/>
              <w:right w:w="30" w:type="dxa"/>
            </w:tcMar>
            <w:vAlign w:val="center"/>
            <w:hideMark/>
          </w:tcPr>
          <w:p w14:paraId="39237D3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-2.196</w:t>
            </w:r>
          </w:p>
        </w:tc>
        <w:tc>
          <w:tcPr>
            <w:tcW w:w="1080" w:type="dxa"/>
            <w:tcMar>
              <w:top w:w="0" w:type="dxa"/>
              <w:left w:w="30" w:type="dxa"/>
              <w:bottom w:w="0" w:type="dxa"/>
              <w:right w:w="30" w:type="dxa"/>
            </w:tcMar>
            <w:vAlign w:val="center"/>
            <w:hideMark/>
          </w:tcPr>
          <w:p w14:paraId="2187C72F"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0.028</w:t>
            </w:r>
          </w:p>
        </w:tc>
      </w:tr>
      <w:tr w:rsidR="007B26A4" w:rsidRPr="00CD2F5C" w14:paraId="274A91EB" w14:textId="77777777" w:rsidTr="00BF4B86">
        <w:trPr>
          <w:trHeight w:val="375"/>
          <w:jc w:val="center"/>
        </w:trPr>
        <w:tc>
          <w:tcPr>
            <w:tcW w:w="3235" w:type="dxa"/>
            <w:tcMar>
              <w:top w:w="0" w:type="dxa"/>
              <w:left w:w="30" w:type="dxa"/>
              <w:bottom w:w="0" w:type="dxa"/>
              <w:right w:w="30" w:type="dxa"/>
            </w:tcMar>
            <w:vAlign w:val="bottom"/>
            <w:hideMark/>
          </w:tcPr>
          <w:p w14:paraId="69BA9B62"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r w:rsidRPr="00CD2F5C">
              <w:rPr>
                <w:rFonts w:ascii="Cambria" w:eastAsia="Calibri" w:hAnsi="Cambria" w:cs="Arial"/>
                <w:b/>
                <w:bCs/>
                <w:sz w:val="24"/>
                <w:szCs w:val="24"/>
              </w:rPr>
              <w:t>TakenToDoctorIfNeeded</w:t>
            </w:r>
          </w:p>
        </w:tc>
        <w:tc>
          <w:tcPr>
            <w:tcW w:w="990" w:type="dxa"/>
            <w:tcMar>
              <w:top w:w="0" w:type="dxa"/>
              <w:left w:w="30" w:type="dxa"/>
              <w:bottom w:w="0" w:type="dxa"/>
              <w:right w:w="30" w:type="dxa"/>
            </w:tcMar>
            <w:vAlign w:val="center"/>
            <w:hideMark/>
          </w:tcPr>
          <w:p w14:paraId="36E7FA9C"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-0.0039</w:t>
            </w:r>
          </w:p>
        </w:tc>
        <w:tc>
          <w:tcPr>
            <w:tcW w:w="990" w:type="dxa"/>
            <w:tcMar>
              <w:top w:w="0" w:type="dxa"/>
              <w:left w:w="30" w:type="dxa"/>
              <w:bottom w:w="0" w:type="dxa"/>
              <w:right w:w="30" w:type="dxa"/>
            </w:tcMar>
            <w:vAlign w:val="center"/>
            <w:hideMark/>
          </w:tcPr>
          <w:p w14:paraId="7C85FDBF"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-0.0127</w:t>
            </w:r>
          </w:p>
        </w:tc>
        <w:tc>
          <w:tcPr>
            <w:tcW w:w="990" w:type="dxa"/>
            <w:tcMar>
              <w:top w:w="0" w:type="dxa"/>
              <w:left w:w="30" w:type="dxa"/>
              <w:bottom w:w="0" w:type="dxa"/>
              <w:right w:w="30" w:type="dxa"/>
            </w:tcMar>
            <w:vAlign w:val="center"/>
            <w:hideMark/>
          </w:tcPr>
          <w:p w14:paraId="3B6488BD"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0.0049</w:t>
            </w:r>
          </w:p>
        </w:tc>
        <w:tc>
          <w:tcPr>
            <w:tcW w:w="990" w:type="dxa"/>
            <w:tcMar>
              <w:top w:w="0" w:type="dxa"/>
              <w:left w:w="30" w:type="dxa"/>
              <w:bottom w:w="0" w:type="dxa"/>
              <w:right w:w="30" w:type="dxa"/>
            </w:tcMar>
            <w:vAlign w:val="center"/>
            <w:hideMark/>
          </w:tcPr>
          <w:p w14:paraId="1ADE9A5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0.0045</w:t>
            </w:r>
          </w:p>
        </w:tc>
        <w:tc>
          <w:tcPr>
            <w:tcW w:w="990" w:type="dxa"/>
            <w:tcMar>
              <w:top w:w="0" w:type="dxa"/>
              <w:left w:w="30" w:type="dxa"/>
              <w:bottom w:w="0" w:type="dxa"/>
              <w:right w:w="30" w:type="dxa"/>
            </w:tcMar>
            <w:vAlign w:val="center"/>
            <w:hideMark/>
          </w:tcPr>
          <w:p w14:paraId="68D3FA15"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-0.871</w:t>
            </w:r>
          </w:p>
        </w:tc>
        <w:tc>
          <w:tcPr>
            <w:tcW w:w="1080" w:type="dxa"/>
            <w:tcMar>
              <w:top w:w="0" w:type="dxa"/>
              <w:left w:w="30" w:type="dxa"/>
              <w:bottom w:w="0" w:type="dxa"/>
              <w:right w:w="30" w:type="dxa"/>
            </w:tcMar>
            <w:vAlign w:val="center"/>
            <w:hideMark/>
          </w:tcPr>
          <w:p w14:paraId="272DE8D9"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0.384</w:t>
            </w:r>
          </w:p>
        </w:tc>
      </w:tr>
      <w:tr w:rsidR="007B26A4" w:rsidRPr="00CD2F5C" w14:paraId="09E6109A" w14:textId="77777777" w:rsidTr="00BF4B86">
        <w:trPr>
          <w:trHeight w:val="476"/>
          <w:jc w:val="center"/>
        </w:trPr>
        <w:tc>
          <w:tcPr>
            <w:tcW w:w="3235" w:type="dxa"/>
            <w:tcMar>
              <w:top w:w="0" w:type="dxa"/>
              <w:left w:w="30" w:type="dxa"/>
              <w:bottom w:w="0" w:type="dxa"/>
              <w:right w:w="30" w:type="dxa"/>
            </w:tcMar>
            <w:vAlign w:val="bottom"/>
            <w:hideMark/>
          </w:tcPr>
          <w:p w14:paraId="72CCA9FA"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TroubleRelaxing</w:t>
            </w:r>
            <w:proofErr w:type="spellEnd"/>
            <w:r w:rsidRPr="00CD2F5C">
              <w:rPr>
                <w:rFonts w:ascii="Cambria" w:eastAsia="Calibri" w:hAnsi="Cambria" w:cs="Arial"/>
                <w:b/>
                <w:bCs/>
                <w:sz w:val="24"/>
                <w:szCs w:val="24"/>
              </w:rPr>
              <w:t xml:space="preserve"> X </w:t>
            </w:r>
            <w:proofErr w:type="spellStart"/>
            <w:r w:rsidRPr="00CD2F5C">
              <w:rPr>
                <w:rFonts w:ascii="Cambria" w:eastAsia="Calibri" w:hAnsi="Cambria" w:cs="Arial"/>
                <w:b/>
                <w:bCs/>
                <w:sz w:val="24"/>
                <w:szCs w:val="24"/>
              </w:rPr>
              <w:t>SexuallyAbused</w:t>
            </w:r>
            <w:proofErr w:type="spellEnd"/>
          </w:p>
        </w:tc>
        <w:tc>
          <w:tcPr>
            <w:tcW w:w="990" w:type="dxa"/>
            <w:tcMar>
              <w:top w:w="0" w:type="dxa"/>
              <w:left w:w="30" w:type="dxa"/>
              <w:bottom w:w="0" w:type="dxa"/>
              <w:right w:w="30" w:type="dxa"/>
            </w:tcMar>
            <w:vAlign w:val="center"/>
            <w:hideMark/>
          </w:tcPr>
          <w:p w14:paraId="30A1D235"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0.0107</w:t>
            </w:r>
          </w:p>
        </w:tc>
        <w:tc>
          <w:tcPr>
            <w:tcW w:w="990" w:type="dxa"/>
            <w:tcMar>
              <w:top w:w="0" w:type="dxa"/>
              <w:left w:w="30" w:type="dxa"/>
              <w:bottom w:w="0" w:type="dxa"/>
              <w:right w:w="30" w:type="dxa"/>
            </w:tcMar>
            <w:vAlign w:val="center"/>
            <w:hideMark/>
          </w:tcPr>
          <w:p w14:paraId="4B0A14C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0.0012</w:t>
            </w:r>
          </w:p>
        </w:tc>
        <w:tc>
          <w:tcPr>
            <w:tcW w:w="990" w:type="dxa"/>
            <w:tcMar>
              <w:top w:w="0" w:type="dxa"/>
              <w:left w:w="30" w:type="dxa"/>
              <w:bottom w:w="0" w:type="dxa"/>
              <w:right w:w="30" w:type="dxa"/>
            </w:tcMar>
            <w:vAlign w:val="center"/>
            <w:hideMark/>
          </w:tcPr>
          <w:p w14:paraId="5CCC8BE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0.0201</w:t>
            </w:r>
          </w:p>
        </w:tc>
        <w:tc>
          <w:tcPr>
            <w:tcW w:w="990" w:type="dxa"/>
            <w:tcMar>
              <w:top w:w="0" w:type="dxa"/>
              <w:left w:w="30" w:type="dxa"/>
              <w:bottom w:w="0" w:type="dxa"/>
              <w:right w:w="30" w:type="dxa"/>
            </w:tcMar>
            <w:vAlign w:val="center"/>
            <w:hideMark/>
          </w:tcPr>
          <w:p w14:paraId="2E202D2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0.0048</w:t>
            </w:r>
          </w:p>
        </w:tc>
        <w:tc>
          <w:tcPr>
            <w:tcW w:w="990" w:type="dxa"/>
            <w:tcMar>
              <w:top w:w="0" w:type="dxa"/>
              <w:left w:w="30" w:type="dxa"/>
              <w:bottom w:w="0" w:type="dxa"/>
              <w:right w:w="30" w:type="dxa"/>
            </w:tcMar>
            <w:vAlign w:val="center"/>
            <w:hideMark/>
          </w:tcPr>
          <w:p w14:paraId="23712443"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2.226</w:t>
            </w:r>
          </w:p>
        </w:tc>
        <w:tc>
          <w:tcPr>
            <w:tcW w:w="1080" w:type="dxa"/>
            <w:tcMar>
              <w:top w:w="0" w:type="dxa"/>
              <w:left w:w="30" w:type="dxa"/>
              <w:bottom w:w="0" w:type="dxa"/>
              <w:right w:w="30" w:type="dxa"/>
            </w:tcMar>
            <w:vAlign w:val="center"/>
            <w:hideMark/>
          </w:tcPr>
          <w:p w14:paraId="4688D1D1"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0.026</w:t>
            </w:r>
          </w:p>
        </w:tc>
      </w:tr>
      <w:tr w:rsidR="007B26A4" w:rsidRPr="00CD2F5C" w14:paraId="4BD48022" w14:textId="77777777" w:rsidTr="00BF4B86">
        <w:trPr>
          <w:trHeight w:val="485"/>
          <w:jc w:val="center"/>
        </w:trPr>
        <w:tc>
          <w:tcPr>
            <w:tcW w:w="3235" w:type="dxa"/>
            <w:tcMar>
              <w:top w:w="0" w:type="dxa"/>
              <w:left w:w="30" w:type="dxa"/>
              <w:bottom w:w="0" w:type="dxa"/>
              <w:right w:w="30" w:type="dxa"/>
            </w:tcMar>
            <w:vAlign w:val="bottom"/>
            <w:hideMark/>
          </w:tcPr>
          <w:p w14:paraId="5A1796F8"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PhysicallyAbused</w:t>
            </w:r>
            <w:proofErr w:type="spellEnd"/>
            <w:r w:rsidRPr="00CD2F5C">
              <w:rPr>
                <w:rFonts w:ascii="Cambria" w:eastAsia="Calibri" w:hAnsi="Cambria" w:cs="Arial"/>
                <w:b/>
                <w:bCs/>
                <w:sz w:val="24"/>
                <w:szCs w:val="24"/>
              </w:rPr>
              <w:t xml:space="preserve"> X </w:t>
            </w:r>
            <w:proofErr w:type="spellStart"/>
            <w:r w:rsidRPr="00CD2F5C">
              <w:rPr>
                <w:rFonts w:ascii="Cambria" w:eastAsia="Calibri" w:hAnsi="Cambria" w:cs="Arial"/>
                <w:b/>
                <w:bCs/>
                <w:sz w:val="24"/>
                <w:szCs w:val="24"/>
              </w:rPr>
              <w:t>SexuallyAbused</w:t>
            </w:r>
            <w:proofErr w:type="spellEnd"/>
          </w:p>
        </w:tc>
        <w:tc>
          <w:tcPr>
            <w:tcW w:w="990" w:type="dxa"/>
            <w:tcMar>
              <w:top w:w="0" w:type="dxa"/>
              <w:left w:w="30" w:type="dxa"/>
              <w:bottom w:w="0" w:type="dxa"/>
              <w:right w:w="30" w:type="dxa"/>
            </w:tcMar>
            <w:vAlign w:val="center"/>
            <w:hideMark/>
          </w:tcPr>
          <w:p w14:paraId="56079CA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-0.0076</w:t>
            </w:r>
          </w:p>
        </w:tc>
        <w:tc>
          <w:tcPr>
            <w:tcW w:w="990" w:type="dxa"/>
            <w:tcMar>
              <w:top w:w="0" w:type="dxa"/>
              <w:left w:w="30" w:type="dxa"/>
              <w:bottom w:w="0" w:type="dxa"/>
              <w:right w:w="30" w:type="dxa"/>
            </w:tcMar>
            <w:vAlign w:val="center"/>
            <w:hideMark/>
          </w:tcPr>
          <w:p w14:paraId="7D12B153"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-0.0157</w:t>
            </w:r>
          </w:p>
        </w:tc>
        <w:tc>
          <w:tcPr>
            <w:tcW w:w="990" w:type="dxa"/>
            <w:tcMar>
              <w:top w:w="0" w:type="dxa"/>
              <w:left w:w="30" w:type="dxa"/>
              <w:bottom w:w="0" w:type="dxa"/>
              <w:right w:w="30" w:type="dxa"/>
            </w:tcMar>
            <w:vAlign w:val="center"/>
            <w:hideMark/>
          </w:tcPr>
          <w:p w14:paraId="5129AF7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0.0004</w:t>
            </w:r>
          </w:p>
        </w:tc>
        <w:tc>
          <w:tcPr>
            <w:tcW w:w="990" w:type="dxa"/>
            <w:tcMar>
              <w:top w:w="0" w:type="dxa"/>
              <w:left w:w="30" w:type="dxa"/>
              <w:bottom w:w="0" w:type="dxa"/>
              <w:right w:w="30" w:type="dxa"/>
            </w:tcMar>
            <w:vAlign w:val="center"/>
            <w:hideMark/>
          </w:tcPr>
          <w:p w14:paraId="473E55CE"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0.0041</w:t>
            </w:r>
          </w:p>
        </w:tc>
        <w:tc>
          <w:tcPr>
            <w:tcW w:w="990" w:type="dxa"/>
            <w:tcMar>
              <w:top w:w="0" w:type="dxa"/>
              <w:left w:w="30" w:type="dxa"/>
              <w:bottom w:w="0" w:type="dxa"/>
              <w:right w:w="30" w:type="dxa"/>
            </w:tcMar>
            <w:vAlign w:val="center"/>
            <w:hideMark/>
          </w:tcPr>
          <w:p w14:paraId="3D6EA24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-1.863</w:t>
            </w:r>
          </w:p>
        </w:tc>
        <w:tc>
          <w:tcPr>
            <w:tcW w:w="1080" w:type="dxa"/>
            <w:tcMar>
              <w:top w:w="0" w:type="dxa"/>
              <w:left w:w="30" w:type="dxa"/>
              <w:bottom w:w="0" w:type="dxa"/>
              <w:right w:w="30" w:type="dxa"/>
            </w:tcMar>
            <w:vAlign w:val="center"/>
            <w:hideMark/>
          </w:tcPr>
          <w:p w14:paraId="5854E4A5"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0.063</w:t>
            </w:r>
          </w:p>
        </w:tc>
      </w:tr>
      <w:tr w:rsidR="007B26A4" w:rsidRPr="00CD2F5C" w14:paraId="10A88581" w14:textId="77777777" w:rsidTr="00BF4B86">
        <w:trPr>
          <w:trHeight w:val="503"/>
          <w:jc w:val="center"/>
        </w:trPr>
        <w:tc>
          <w:tcPr>
            <w:tcW w:w="3235" w:type="dxa"/>
            <w:tcMar>
              <w:top w:w="0" w:type="dxa"/>
              <w:left w:w="30" w:type="dxa"/>
              <w:bottom w:w="0" w:type="dxa"/>
              <w:right w:w="30" w:type="dxa"/>
            </w:tcMar>
            <w:vAlign w:val="bottom"/>
            <w:hideMark/>
          </w:tcPr>
          <w:p w14:paraId="32446B4C"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MuscleSymptomsAnxietyYes</w:t>
            </w:r>
            <w:proofErr w:type="spellEnd"/>
            <w:r w:rsidRPr="00CD2F5C">
              <w:rPr>
                <w:rFonts w:ascii="Cambria" w:eastAsia="Calibri" w:hAnsi="Cambria" w:cs="Arial"/>
                <w:b/>
                <w:bCs/>
                <w:sz w:val="24"/>
                <w:szCs w:val="24"/>
              </w:rPr>
              <w:t xml:space="preserve"> X </w:t>
            </w:r>
            <w:proofErr w:type="spellStart"/>
            <w:r w:rsidRPr="00CD2F5C">
              <w:rPr>
                <w:rFonts w:ascii="Cambria" w:eastAsia="Calibri" w:hAnsi="Cambria" w:cs="Arial"/>
                <w:b/>
                <w:bCs/>
                <w:sz w:val="24"/>
                <w:szCs w:val="24"/>
              </w:rPr>
              <w:t>PhysicallyAbused</w:t>
            </w:r>
            <w:proofErr w:type="spellEnd"/>
          </w:p>
        </w:tc>
        <w:tc>
          <w:tcPr>
            <w:tcW w:w="990" w:type="dxa"/>
            <w:tcMar>
              <w:top w:w="0" w:type="dxa"/>
              <w:left w:w="30" w:type="dxa"/>
              <w:bottom w:w="0" w:type="dxa"/>
              <w:right w:w="30" w:type="dxa"/>
            </w:tcMar>
            <w:vAlign w:val="center"/>
            <w:hideMark/>
          </w:tcPr>
          <w:p w14:paraId="05D51F60"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-0.0260</w:t>
            </w:r>
          </w:p>
        </w:tc>
        <w:tc>
          <w:tcPr>
            <w:tcW w:w="990" w:type="dxa"/>
            <w:tcMar>
              <w:top w:w="0" w:type="dxa"/>
              <w:left w:w="30" w:type="dxa"/>
              <w:bottom w:w="0" w:type="dxa"/>
              <w:right w:w="30" w:type="dxa"/>
            </w:tcMar>
            <w:vAlign w:val="center"/>
            <w:hideMark/>
          </w:tcPr>
          <w:p w14:paraId="5C215467"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-0.0452</w:t>
            </w:r>
          </w:p>
        </w:tc>
        <w:tc>
          <w:tcPr>
            <w:tcW w:w="990" w:type="dxa"/>
            <w:tcMar>
              <w:top w:w="0" w:type="dxa"/>
              <w:left w:w="30" w:type="dxa"/>
              <w:bottom w:w="0" w:type="dxa"/>
              <w:right w:w="30" w:type="dxa"/>
            </w:tcMar>
            <w:vAlign w:val="center"/>
            <w:hideMark/>
          </w:tcPr>
          <w:p w14:paraId="05AFEBE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-0.0069</w:t>
            </w:r>
          </w:p>
        </w:tc>
        <w:tc>
          <w:tcPr>
            <w:tcW w:w="990" w:type="dxa"/>
            <w:tcMar>
              <w:top w:w="0" w:type="dxa"/>
              <w:left w:w="30" w:type="dxa"/>
              <w:bottom w:w="0" w:type="dxa"/>
              <w:right w:w="30" w:type="dxa"/>
            </w:tcMar>
            <w:vAlign w:val="center"/>
            <w:hideMark/>
          </w:tcPr>
          <w:p w14:paraId="48F9D9C1"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0.0098</w:t>
            </w:r>
          </w:p>
        </w:tc>
        <w:tc>
          <w:tcPr>
            <w:tcW w:w="990" w:type="dxa"/>
            <w:tcMar>
              <w:top w:w="0" w:type="dxa"/>
              <w:left w:w="30" w:type="dxa"/>
              <w:bottom w:w="0" w:type="dxa"/>
              <w:right w:w="30" w:type="dxa"/>
            </w:tcMar>
            <w:vAlign w:val="center"/>
            <w:hideMark/>
          </w:tcPr>
          <w:p w14:paraId="34239CFA"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-2.668</w:t>
            </w:r>
          </w:p>
        </w:tc>
        <w:tc>
          <w:tcPr>
            <w:tcW w:w="1080" w:type="dxa"/>
            <w:tcMar>
              <w:top w:w="0" w:type="dxa"/>
              <w:left w:w="30" w:type="dxa"/>
              <w:bottom w:w="0" w:type="dxa"/>
              <w:right w:w="30" w:type="dxa"/>
            </w:tcMar>
            <w:vAlign w:val="center"/>
            <w:hideMark/>
          </w:tcPr>
          <w:p w14:paraId="5549F0D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0.008</w:t>
            </w:r>
          </w:p>
        </w:tc>
      </w:tr>
      <w:tr w:rsidR="007B26A4" w:rsidRPr="00CD2F5C" w14:paraId="213EAF74" w14:textId="77777777" w:rsidTr="00BF4B86">
        <w:trPr>
          <w:trHeight w:val="512"/>
          <w:jc w:val="center"/>
        </w:trPr>
        <w:tc>
          <w:tcPr>
            <w:tcW w:w="3235" w:type="dxa"/>
            <w:tcMar>
              <w:top w:w="0" w:type="dxa"/>
              <w:left w:w="30" w:type="dxa"/>
              <w:bottom w:w="0" w:type="dxa"/>
              <w:right w:w="30" w:type="dxa"/>
            </w:tcMar>
            <w:vAlign w:val="bottom"/>
            <w:hideMark/>
          </w:tcPr>
          <w:p w14:paraId="2C1657D8"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ProfessionalInfoAnxietyYes</w:t>
            </w:r>
            <w:proofErr w:type="spellEnd"/>
            <w:r w:rsidRPr="00CD2F5C">
              <w:rPr>
                <w:rFonts w:ascii="Cambria" w:eastAsia="Calibri" w:hAnsi="Cambria" w:cs="Arial"/>
                <w:b/>
                <w:bCs/>
                <w:sz w:val="24"/>
                <w:szCs w:val="24"/>
              </w:rPr>
              <w:t xml:space="preserve"> X </w:t>
            </w:r>
            <w:proofErr w:type="spellStart"/>
            <w:r w:rsidRPr="00CD2F5C">
              <w:rPr>
                <w:rFonts w:ascii="Cambria" w:eastAsia="Calibri" w:hAnsi="Cambria" w:cs="Arial"/>
                <w:b/>
                <w:bCs/>
                <w:sz w:val="24"/>
                <w:szCs w:val="24"/>
              </w:rPr>
              <w:t>FeltHated</w:t>
            </w:r>
            <w:proofErr w:type="spellEnd"/>
          </w:p>
        </w:tc>
        <w:tc>
          <w:tcPr>
            <w:tcW w:w="990" w:type="dxa"/>
            <w:tcMar>
              <w:top w:w="0" w:type="dxa"/>
              <w:left w:w="30" w:type="dxa"/>
              <w:bottom w:w="0" w:type="dxa"/>
              <w:right w:w="30" w:type="dxa"/>
            </w:tcMar>
            <w:vAlign w:val="center"/>
            <w:hideMark/>
          </w:tcPr>
          <w:p w14:paraId="7034B2DC"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-0.0176</w:t>
            </w:r>
          </w:p>
        </w:tc>
        <w:tc>
          <w:tcPr>
            <w:tcW w:w="990" w:type="dxa"/>
            <w:tcMar>
              <w:top w:w="0" w:type="dxa"/>
              <w:left w:w="30" w:type="dxa"/>
              <w:bottom w:w="0" w:type="dxa"/>
              <w:right w:w="30" w:type="dxa"/>
            </w:tcMar>
            <w:vAlign w:val="center"/>
            <w:hideMark/>
          </w:tcPr>
          <w:p w14:paraId="30BEA75F"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-0.0337</w:t>
            </w:r>
          </w:p>
        </w:tc>
        <w:tc>
          <w:tcPr>
            <w:tcW w:w="990" w:type="dxa"/>
            <w:tcMar>
              <w:top w:w="0" w:type="dxa"/>
              <w:left w:w="30" w:type="dxa"/>
              <w:bottom w:w="0" w:type="dxa"/>
              <w:right w:w="30" w:type="dxa"/>
            </w:tcMar>
            <w:vAlign w:val="center"/>
            <w:hideMark/>
          </w:tcPr>
          <w:p w14:paraId="1D27AE5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-0.0015</w:t>
            </w:r>
          </w:p>
        </w:tc>
        <w:tc>
          <w:tcPr>
            <w:tcW w:w="990" w:type="dxa"/>
            <w:tcMar>
              <w:top w:w="0" w:type="dxa"/>
              <w:left w:w="30" w:type="dxa"/>
              <w:bottom w:w="0" w:type="dxa"/>
              <w:right w:w="30" w:type="dxa"/>
            </w:tcMar>
            <w:vAlign w:val="center"/>
            <w:hideMark/>
          </w:tcPr>
          <w:p w14:paraId="16574C38"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0.0082</w:t>
            </w:r>
          </w:p>
        </w:tc>
        <w:tc>
          <w:tcPr>
            <w:tcW w:w="990" w:type="dxa"/>
            <w:tcMar>
              <w:top w:w="0" w:type="dxa"/>
              <w:left w:w="30" w:type="dxa"/>
              <w:bottom w:w="0" w:type="dxa"/>
              <w:right w:w="30" w:type="dxa"/>
            </w:tcMar>
            <w:vAlign w:val="center"/>
            <w:hideMark/>
          </w:tcPr>
          <w:p w14:paraId="2E13BE50"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-2.137</w:t>
            </w:r>
          </w:p>
        </w:tc>
        <w:tc>
          <w:tcPr>
            <w:tcW w:w="1080" w:type="dxa"/>
            <w:tcMar>
              <w:top w:w="0" w:type="dxa"/>
              <w:left w:w="30" w:type="dxa"/>
              <w:bottom w:w="0" w:type="dxa"/>
              <w:right w:w="30" w:type="dxa"/>
            </w:tcMar>
            <w:vAlign w:val="center"/>
            <w:hideMark/>
          </w:tcPr>
          <w:p w14:paraId="4678BEDB"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0.032</w:t>
            </w:r>
          </w:p>
        </w:tc>
      </w:tr>
      <w:tr w:rsidR="007B26A4" w:rsidRPr="00CD2F5C" w14:paraId="119351BD" w14:textId="77777777" w:rsidTr="00BF4B86">
        <w:trPr>
          <w:trHeight w:val="205"/>
          <w:jc w:val="center"/>
        </w:trPr>
        <w:tc>
          <w:tcPr>
            <w:tcW w:w="3235" w:type="dxa"/>
            <w:tcBorders>
              <w:top w:val="nil"/>
              <w:left w:val="nil"/>
              <w:bottom w:val="single" w:sz="4" w:space="0" w:color="auto"/>
              <w:right w:val="nil"/>
            </w:tcBorders>
            <w:vAlign w:val="bottom"/>
            <w:hideMark/>
          </w:tcPr>
          <w:p w14:paraId="7CDDAB16" w14:textId="77777777" w:rsidR="007B26A4" w:rsidRPr="00CD2F5C" w:rsidRDefault="007B26A4" w:rsidP="002B0F75">
            <w:pPr>
              <w:suppressAutoHyphens/>
              <w:overflowPunct w:val="0"/>
              <w:spacing w:after="0" w:line="360" w:lineRule="auto"/>
              <w:ind w:left="-5" w:hanging="10"/>
              <w:rPr>
                <w:rFonts w:ascii="Cambria" w:eastAsia="Calibri" w:hAnsi="Cambria" w:cs="Arial"/>
                <w:b/>
                <w:bCs/>
                <w:sz w:val="24"/>
                <w:szCs w:val="24"/>
              </w:rPr>
            </w:pPr>
            <w:proofErr w:type="spellStart"/>
            <w:r w:rsidRPr="00CD2F5C">
              <w:rPr>
                <w:rFonts w:ascii="Cambria" w:eastAsia="Calibri" w:hAnsi="Cambria" w:cs="Arial"/>
                <w:b/>
                <w:bCs/>
                <w:sz w:val="24"/>
                <w:szCs w:val="24"/>
              </w:rPr>
              <w:t>TroubleRelaxing</w:t>
            </w:r>
            <w:proofErr w:type="spellEnd"/>
            <w:r w:rsidRPr="00CD2F5C">
              <w:rPr>
                <w:rFonts w:ascii="Cambria" w:eastAsia="Calibri" w:hAnsi="Cambria" w:cs="Arial"/>
                <w:b/>
                <w:bCs/>
                <w:sz w:val="24"/>
                <w:szCs w:val="24"/>
              </w:rPr>
              <w:t xml:space="preserve"> X </w:t>
            </w:r>
            <w:proofErr w:type="spellStart"/>
            <w:r w:rsidRPr="00CD2F5C">
              <w:rPr>
                <w:rFonts w:ascii="Cambria" w:eastAsia="Calibri" w:hAnsi="Cambria" w:cs="Arial"/>
                <w:b/>
                <w:bCs/>
                <w:sz w:val="24"/>
                <w:szCs w:val="24"/>
              </w:rPr>
              <w:t>FeltHated</w:t>
            </w:r>
            <w:proofErr w:type="spellEnd"/>
          </w:p>
        </w:tc>
        <w:tc>
          <w:tcPr>
            <w:tcW w:w="990" w:type="dxa"/>
            <w:tcBorders>
              <w:top w:val="nil"/>
              <w:left w:val="nil"/>
              <w:bottom w:val="single" w:sz="4" w:space="0" w:color="auto"/>
              <w:right w:val="nil"/>
            </w:tcBorders>
            <w:vAlign w:val="center"/>
            <w:hideMark/>
          </w:tcPr>
          <w:p w14:paraId="5EF962CD"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0.0067</w:t>
            </w:r>
          </w:p>
        </w:tc>
        <w:tc>
          <w:tcPr>
            <w:tcW w:w="990" w:type="dxa"/>
            <w:tcBorders>
              <w:top w:val="nil"/>
              <w:left w:val="nil"/>
              <w:bottom w:val="single" w:sz="4" w:space="0" w:color="auto"/>
              <w:right w:val="nil"/>
            </w:tcBorders>
            <w:vAlign w:val="center"/>
            <w:hideMark/>
          </w:tcPr>
          <w:p w14:paraId="20503D66"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-0.0011</w:t>
            </w:r>
          </w:p>
        </w:tc>
        <w:tc>
          <w:tcPr>
            <w:tcW w:w="990" w:type="dxa"/>
            <w:tcBorders>
              <w:top w:val="nil"/>
              <w:left w:val="nil"/>
              <w:bottom w:val="single" w:sz="4" w:space="0" w:color="auto"/>
              <w:right w:val="nil"/>
            </w:tcBorders>
            <w:vAlign w:val="center"/>
            <w:hideMark/>
          </w:tcPr>
          <w:p w14:paraId="41502D40"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0.0144</w:t>
            </w:r>
          </w:p>
        </w:tc>
        <w:tc>
          <w:tcPr>
            <w:tcW w:w="990" w:type="dxa"/>
            <w:tcBorders>
              <w:top w:val="nil"/>
              <w:left w:val="nil"/>
              <w:bottom w:val="single" w:sz="4" w:space="0" w:color="auto"/>
              <w:right w:val="nil"/>
            </w:tcBorders>
            <w:vAlign w:val="center"/>
            <w:hideMark/>
          </w:tcPr>
          <w:p w14:paraId="3BE4B6C2"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0.0039</w:t>
            </w:r>
          </w:p>
        </w:tc>
        <w:tc>
          <w:tcPr>
            <w:tcW w:w="990" w:type="dxa"/>
            <w:tcBorders>
              <w:top w:val="nil"/>
              <w:left w:val="nil"/>
              <w:bottom w:val="single" w:sz="4" w:space="0" w:color="auto"/>
              <w:right w:val="nil"/>
            </w:tcBorders>
            <w:vAlign w:val="center"/>
            <w:hideMark/>
          </w:tcPr>
          <w:p w14:paraId="50440765"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1.687</w:t>
            </w:r>
          </w:p>
        </w:tc>
        <w:tc>
          <w:tcPr>
            <w:tcW w:w="1080" w:type="dxa"/>
            <w:tcBorders>
              <w:top w:val="nil"/>
              <w:left w:val="nil"/>
              <w:bottom w:val="single" w:sz="4" w:space="0" w:color="auto"/>
              <w:right w:val="nil"/>
            </w:tcBorders>
            <w:vAlign w:val="center"/>
            <w:hideMark/>
          </w:tcPr>
          <w:p w14:paraId="5CDC7C24" w14:textId="77777777" w:rsidR="007B26A4" w:rsidRPr="00CD2F5C" w:rsidRDefault="007B26A4" w:rsidP="002B0F75">
            <w:pPr>
              <w:suppressAutoHyphens/>
              <w:overflowPunct w:val="0"/>
              <w:spacing w:after="0" w:line="360" w:lineRule="auto"/>
              <w:ind w:left="-5" w:hanging="10"/>
              <w:rPr>
                <w:rFonts w:ascii="Cambria" w:eastAsia="Calibri" w:hAnsi="Cambria" w:cs="Arial"/>
                <w:sz w:val="24"/>
                <w:szCs w:val="24"/>
              </w:rPr>
            </w:pPr>
            <w:r w:rsidRPr="00CD2F5C">
              <w:rPr>
                <w:rFonts w:ascii="Cambria" w:eastAsia="Calibri" w:hAnsi="Cambria" w:cs="Arial"/>
                <w:sz w:val="24"/>
                <w:szCs w:val="24"/>
              </w:rPr>
              <w:t>0.092</w:t>
            </w:r>
          </w:p>
        </w:tc>
      </w:tr>
    </w:tbl>
    <w:p w14:paraId="5BB37F46" w14:textId="77777777" w:rsidR="007B26A4" w:rsidRPr="00CD2F5C" w:rsidRDefault="007B26A4" w:rsidP="002B0F75">
      <w:pPr>
        <w:suppressAutoHyphens/>
        <w:overflowPunct w:val="0"/>
        <w:spacing w:after="247" w:line="360" w:lineRule="auto"/>
        <w:ind w:left="-5" w:hanging="10"/>
        <w:rPr>
          <w:rFonts w:ascii="Cambria" w:eastAsia="Calibri" w:hAnsi="Cambria" w:cs="Arial"/>
          <w:sz w:val="24"/>
          <w:szCs w:val="24"/>
        </w:rPr>
      </w:pPr>
      <w:r w:rsidRPr="00CD2F5C">
        <w:rPr>
          <w:rFonts w:ascii="Cambria" w:eastAsia="Calibri" w:hAnsi="Cambria" w:cs="Arial"/>
          <w:sz w:val="24"/>
          <w:szCs w:val="24"/>
        </w:rPr>
        <w:lastRenderedPageBreak/>
        <w:t>Null deviance: 20064 on 24163 degrees of freedom. Residual deviance: 19199 on 24150 degrees of freedom. AIC: 78978.</w:t>
      </w:r>
    </w:p>
    <w:p w14:paraId="10268270"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eastAsia="Calibri" w:hAnsi="Cambria" w:cs="Arial"/>
          <w:sz w:val="24"/>
          <w:szCs w:val="24"/>
        </w:rPr>
        <w:t>Since our dependent variable was count data, a Poisson model was determined to be the most suitable, and the practical assumption of variance and mean being equals were also met (variance: 2.15; mean: 2.04). The model significantly predicted the number of times pain was reported through the years (χ</w:t>
      </w:r>
      <w:proofErr w:type="gramStart"/>
      <w:r w:rsidRPr="00CD2F5C">
        <w:rPr>
          <w:rFonts w:ascii="Cambria" w:eastAsia="Calibri" w:hAnsi="Cambria" w:cs="Arial"/>
          <w:sz w:val="24"/>
          <w:szCs w:val="24"/>
        </w:rPr>
        <w:t>²(</w:t>
      </w:r>
      <w:proofErr w:type="gramEnd"/>
      <w:r w:rsidRPr="00CD2F5C">
        <w:rPr>
          <w:rFonts w:ascii="Cambria" w:eastAsia="Calibri" w:hAnsi="Cambria" w:cs="Arial"/>
          <w:sz w:val="24"/>
          <w:szCs w:val="24"/>
        </w:rPr>
        <w:t xml:space="preserve">13) = 864.96, p &lt; 0.001, pseudo-R² (Cragg-Uhler) = 0.04). </w:t>
      </w:r>
    </w:p>
    <w:p w14:paraId="3066CCA5" w14:textId="77777777" w:rsidR="007B26A4" w:rsidRPr="00CD2F5C" w:rsidRDefault="007B26A4" w:rsidP="002B0F75">
      <w:pPr>
        <w:suppressAutoHyphens/>
        <w:overflowPunct w:val="0"/>
        <w:spacing w:after="247" w:line="360" w:lineRule="auto"/>
        <w:rPr>
          <w:rFonts w:ascii="Cambria" w:eastAsia="Calibri" w:hAnsi="Cambria" w:cs="Arial"/>
          <w:i/>
          <w:iCs/>
          <w:sz w:val="24"/>
          <w:szCs w:val="24"/>
        </w:rPr>
      </w:pPr>
      <w:r w:rsidRPr="00CD2F5C">
        <w:rPr>
          <w:rFonts w:ascii="Cambria" w:eastAsia="Calibri" w:hAnsi="Cambria" w:cs="Arial"/>
          <w:i/>
          <w:iCs/>
          <w:sz w:val="24"/>
          <w:szCs w:val="24"/>
        </w:rPr>
        <w:t>SEM results</w:t>
      </w:r>
    </w:p>
    <w:p w14:paraId="72C59421"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eastAsia="Calibri" w:hAnsi="Cambria" w:cs="Arial"/>
          <w:sz w:val="24"/>
          <w:szCs w:val="24"/>
        </w:rPr>
        <w:t xml:space="preserve">The exploratory factor analysis (EFA) results of the Kaiser-Meyer-Olkin (KMO) index calculation are shown in </w:t>
      </w:r>
      <w:r w:rsidRPr="00CD2F5C">
        <w:rPr>
          <w:rFonts w:ascii="Cambria" w:eastAsia="Calibri" w:hAnsi="Cambria" w:cs="Arial"/>
          <w:b/>
          <w:bCs/>
          <w:sz w:val="24"/>
          <w:szCs w:val="24"/>
        </w:rPr>
        <w:t>Table S3</w:t>
      </w:r>
      <w:r w:rsidRPr="00CD2F5C">
        <w:rPr>
          <w:rFonts w:ascii="Cambria" w:eastAsia="Calibri" w:hAnsi="Cambria" w:cs="Arial"/>
          <w:sz w:val="24"/>
          <w:szCs w:val="24"/>
        </w:rPr>
        <w:t>. A minimum KMO index of 0.5 was needed for EFA, and since all the variables were above the 0.5 threshold, it was determined that the EFA was adequate.</w:t>
      </w:r>
    </w:p>
    <w:p w14:paraId="20D0AD0D"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b/>
          <w:bCs/>
          <w:sz w:val="24"/>
          <w:szCs w:val="24"/>
        </w:rPr>
        <w:t>Table S3. Measure of sampling adequacy (MSA) for each variable</w:t>
      </w:r>
    </w:p>
    <w:tbl>
      <w:tblPr>
        <w:tblStyle w:val="TableGrid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2885"/>
        <w:gridCol w:w="2625"/>
      </w:tblGrid>
      <w:tr w:rsidR="007B26A4" w:rsidRPr="00CD2F5C" w14:paraId="354C7C63" w14:textId="77777777" w:rsidTr="00BF4B86">
        <w:trPr>
          <w:trHeight w:val="300"/>
        </w:trPr>
        <w:tc>
          <w:tcPr>
            <w:tcW w:w="2865" w:type="dxa"/>
            <w:shd w:val="clear" w:color="auto" w:fill="auto"/>
          </w:tcPr>
          <w:p w14:paraId="008B9754"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MuscleSymptomsAnxiety</w:t>
            </w:r>
            <w:proofErr w:type="spellEnd"/>
          </w:p>
        </w:tc>
        <w:tc>
          <w:tcPr>
            <w:tcW w:w="2760" w:type="dxa"/>
            <w:shd w:val="clear" w:color="auto" w:fill="auto"/>
          </w:tcPr>
          <w:p w14:paraId="06392F8F"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ProfessionalInfoAnxiety</w:t>
            </w:r>
            <w:proofErr w:type="spellEnd"/>
          </w:p>
        </w:tc>
        <w:tc>
          <w:tcPr>
            <w:tcW w:w="2625" w:type="dxa"/>
            <w:shd w:val="clear" w:color="auto" w:fill="auto"/>
          </w:tcPr>
          <w:p w14:paraId="5AE243B6"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FeltHated</w:t>
            </w:r>
            <w:proofErr w:type="spellEnd"/>
          </w:p>
        </w:tc>
      </w:tr>
      <w:tr w:rsidR="007B26A4" w:rsidRPr="00CD2F5C" w14:paraId="71E8C992" w14:textId="77777777" w:rsidTr="00BF4B86">
        <w:trPr>
          <w:trHeight w:val="300"/>
        </w:trPr>
        <w:tc>
          <w:tcPr>
            <w:tcW w:w="2865" w:type="dxa"/>
            <w:shd w:val="clear" w:color="auto" w:fill="auto"/>
          </w:tcPr>
          <w:p w14:paraId="524C9F55"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 xml:space="preserve">                   0.63</w:t>
            </w:r>
          </w:p>
        </w:tc>
        <w:tc>
          <w:tcPr>
            <w:tcW w:w="2760" w:type="dxa"/>
            <w:shd w:val="clear" w:color="auto" w:fill="auto"/>
          </w:tcPr>
          <w:p w14:paraId="608950A6"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0.64</w:t>
            </w:r>
          </w:p>
        </w:tc>
        <w:tc>
          <w:tcPr>
            <w:tcW w:w="2625" w:type="dxa"/>
            <w:shd w:val="clear" w:color="auto" w:fill="auto"/>
          </w:tcPr>
          <w:p w14:paraId="0EE7E92B"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0.66</w:t>
            </w:r>
          </w:p>
        </w:tc>
      </w:tr>
      <w:tr w:rsidR="007B26A4" w:rsidRPr="00CD2F5C" w14:paraId="3031E26B" w14:textId="77777777" w:rsidTr="00BF4B86">
        <w:trPr>
          <w:trHeight w:val="300"/>
        </w:trPr>
        <w:tc>
          <w:tcPr>
            <w:tcW w:w="2865" w:type="dxa"/>
            <w:shd w:val="clear" w:color="auto" w:fill="auto"/>
          </w:tcPr>
          <w:p w14:paraId="0A89D3AA" w14:textId="77777777" w:rsidR="007B26A4" w:rsidRPr="00CD2F5C" w:rsidRDefault="007B26A4" w:rsidP="002B0F75">
            <w:pPr>
              <w:overflowPunct w:val="0"/>
              <w:spacing w:line="360" w:lineRule="auto"/>
              <w:rPr>
                <w:rFonts w:ascii="Cambria" w:hAnsi="Cambria" w:cs="Arial"/>
                <w:b/>
                <w:bCs/>
                <w:sz w:val="24"/>
                <w:szCs w:val="24"/>
              </w:rPr>
            </w:pPr>
            <w:r w:rsidRPr="00CD2F5C">
              <w:rPr>
                <w:rFonts w:ascii="Cambria" w:hAnsi="Cambria" w:cs="Arial"/>
                <w:b/>
                <w:bCs/>
                <w:sz w:val="24"/>
                <w:szCs w:val="24"/>
              </w:rPr>
              <w:t xml:space="preserve">       </w:t>
            </w:r>
            <w:proofErr w:type="spellStart"/>
            <w:r w:rsidRPr="00CD2F5C">
              <w:rPr>
                <w:rFonts w:ascii="Cambria" w:hAnsi="Cambria" w:cs="Arial"/>
                <w:b/>
                <w:bCs/>
                <w:sz w:val="24"/>
                <w:szCs w:val="24"/>
              </w:rPr>
              <w:t>PhysicallyAbused</w:t>
            </w:r>
            <w:proofErr w:type="spellEnd"/>
          </w:p>
        </w:tc>
        <w:tc>
          <w:tcPr>
            <w:tcW w:w="2760" w:type="dxa"/>
            <w:shd w:val="clear" w:color="auto" w:fill="auto"/>
          </w:tcPr>
          <w:p w14:paraId="6489CA57"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FeltLoved</w:t>
            </w:r>
            <w:proofErr w:type="spellEnd"/>
          </w:p>
        </w:tc>
        <w:tc>
          <w:tcPr>
            <w:tcW w:w="2625" w:type="dxa"/>
            <w:shd w:val="clear" w:color="auto" w:fill="auto"/>
          </w:tcPr>
          <w:p w14:paraId="1524648B"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SexuallyAbused</w:t>
            </w:r>
            <w:proofErr w:type="spellEnd"/>
          </w:p>
        </w:tc>
      </w:tr>
      <w:tr w:rsidR="007B26A4" w:rsidRPr="00CD2F5C" w14:paraId="16326DB8" w14:textId="77777777" w:rsidTr="00BF4B86">
        <w:trPr>
          <w:trHeight w:val="300"/>
        </w:trPr>
        <w:tc>
          <w:tcPr>
            <w:tcW w:w="2865" w:type="dxa"/>
            <w:shd w:val="clear" w:color="auto" w:fill="auto"/>
          </w:tcPr>
          <w:p w14:paraId="04C7E603"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 xml:space="preserve">                   0.71</w:t>
            </w:r>
          </w:p>
        </w:tc>
        <w:tc>
          <w:tcPr>
            <w:tcW w:w="2760" w:type="dxa"/>
            <w:shd w:val="clear" w:color="auto" w:fill="auto"/>
          </w:tcPr>
          <w:p w14:paraId="03CFAAFB"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0.63</w:t>
            </w:r>
          </w:p>
        </w:tc>
        <w:tc>
          <w:tcPr>
            <w:tcW w:w="2625" w:type="dxa"/>
            <w:shd w:val="clear" w:color="auto" w:fill="auto"/>
          </w:tcPr>
          <w:p w14:paraId="50DF00E7"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0.69</w:t>
            </w:r>
          </w:p>
        </w:tc>
      </w:tr>
      <w:tr w:rsidR="007B26A4" w:rsidRPr="00CD2F5C" w14:paraId="1EC666CA" w14:textId="77777777" w:rsidTr="00BF4B86">
        <w:trPr>
          <w:trHeight w:val="300"/>
        </w:trPr>
        <w:tc>
          <w:tcPr>
            <w:tcW w:w="2865" w:type="dxa"/>
            <w:shd w:val="clear" w:color="auto" w:fill="auto"/>
          </w:tcPr>
          <w:p w14:paraId="27A7F07B" w14:textId="77777777" w:rsidR="007B26A4" w:rsidRPr="00CD2F5C" w:rsidRDefault="007B26A4" w:rsidP="002B0F75">
            <w:pPr>
              <w:overflowPunct w:val="0"/>
              <w:spacing w:line="360" w:lineRule="auto"/>
              <w:rPr>
                <w:rFonts w:ascii="Cambria" w:hAnsi="Cambria" w:cs="Arial"/>
                <w:b/>
                <w:bCs/>
                <w:sz w:val="24"/>
                <w:szCs w:val="24"/>
              </w:rPr>
            </w:pPr>
            <w:r w:rsidRPr="00CD2F5C">
              <w:rPr>
                <w:rFonts w:ascii="Cambria" w:hAnsi="Cambria" w:cs="Arial"/>
                <w:b/>
                <w:bCs/>
                <w:sz w:val="24"/>
                <w:szCs w:val="24"/>
              </w:rPr>
              <w:t xml:space="preserve"> TakenToDoctorIfNeeded</w:t>
            </w:r>
          </w:p>
        </w:tc>
        <w:tc>
          <w:tcPr>
            <w:tcW w:w="2760" w:type="dxa"/>
            <w:shd w:val="clear" w:color="auto" w:fill="auto"/>
          </w:tcPr>
          <w:p w14:paraId="70C160D8"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TroubleRelaxing</w:t>
            </w:r>
            <w:proofErr w:type="spellEnd"/>
          </w:p>
        </w:tc>
        <w:tc>
          <w:tcPr>
            <w:tcW w:w="2625" w:type="dxa"/>
            <w:shd w:val="clear" w:color="auto" w:fill="auto"/>
          </w:tcPr>
          <w:p w14:paraId="45AD2738" w14:textId="77777777" w:rsidR="007B26A4" w:rsidRPr="00CD2F5C" w:rsidRDefault="007B26A4" w:rsidP="002B0F75">
            <w:pPr>
              <w:overflowPunct w:val="0"/>
              <w:spacing w:line="360" w:lineRule="auto"/>
              <w:rPr>
                <w:rFonts w:ascii="Cambria" w:hAnsi="Cambria" w:cs="Arial"/>
                <w:b/>
                <w:bCs/>
                <w:sz w:val="24"/>
                <w:szCs w:val="24"/>
              </w:rPr>
            </w:pPr>
            <w:proofErr w:type="spellStart"/>
            <w:r w:rsidRPr="00CD2F5C">
              <w:rPr>
                <w:rFonts w:ascii="Cambria" w:hAnsi="Cambria" w:cs="Arial"/>
                <w:b/>
                <w:bCs/>
                <w:sz w:val="24"/>
                <w:szCs w:val="24"/>
              </w:rPr>
              <w:t>ReportsOfPain</w:t>
            </w:r>
            <w:proofErr w:type="spellEnd"/>
          </w:p>
        </w:tc>
      </w:tr>
      <w:tr w:rsidR="007B26A4" w:rsidRPr="00CD2F5C" w14:paraId="65E72B42" w14:textId="77777777" w:rsidTr="00BF4B86">
        <w:trPr>
          <w:trHeight w:val="300"/>
        </w:trPr>
        <w:tc>
          <w:tcPr>
            <w:tcW w:w="2865" w:type="dxa"/>
            <w:shd w:val="clear" w:color="auto" w:fill="auto"/>
          </w:tcPr>
          <w:p w14:paraId="3C6205E3"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 xml:space="preserve">                   0.62</w:t>
            </w:r>
          </w:p>
        </w:tc>
        <w:tc>
          <w:tcPr>
            <w:tcW w:w="2760" w:type="dxa"/>
            <w:shd w:val="clear" w:color="auto" w:fill="auto"/>
          </w:tcPr>
          <w:p w14:paraId="17889947"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0.79</w:t>
            </w:r>
          </w:p>
        </w:tc>
        <w:tc>
          <w:tcPr>
            <w:tcW w:w="2625" w:type="dxa"/>
            <w:shd w:val="clear" w:color="auto" w:fill="auto"/>
          </w:tcPr>
          <w:p w14:paraId="6E6CFB07"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0.80</w:t>
            </w:r>
          </w:p>
        </w:tc>
      </w:tr>
      <w:tr w:rsidR="007B26A4" w:rsidRPr="00CD2F5C" w14:paraId="6B9EE965" w14:textId="77777777" w:rsidTr="00BF4B86">
        <w:trPr>
          <w:trHeight w:val="300"/>
        </w:trPr>
        <w:tc>
          <w:tcPr>
            <w:tcW w:w="2865" w:type="dxa"/>
            <w:shd w:val="clear" w:color="auto" w:fill="auto"/>
          </w:tcPr>
          <w:p w14:paraId="70737C95" w14:textId="77777777" w:rsidR="007B26A4" w:rsidRPr="00CD2F5C" w:rsidRDefault="007B26A4" w:rsidP="002B0F75">
            <w:pPr>
              <w:overflowPunct w:val="0"/>
              <w:spacing w:line="360" w:lineRule="auto"/>
              <w:rPr>
                <w:rFonts w:ascii="Cambria" w:hAnsi="Cambria" w:cs="Arial"/>
                <w:b/>
                <w:bCs/>
                <w:sz w:val="24"/>
                <w:szCs w:val="24"/>
              </w:rPr>
            </w:pPr>
            <w:r w:rsidRPr="00CD2F5C">
              <w:rPr>
                <w:rFonts w:ascii="Cambria" w:hAnsi="Cambria" w:cs="Arial"/>
                <w:b/>
                <w:bCs/>
                <w:sz w:val="24"/>
                <w:szCs w:val="24"/>
              </w:rPr>
              <w:t xml:space="preserve">  </w:t>
            </w:r>
            <w:proofErr w:type="spellStart"/>
            <w:r w:rsidRPr="00CD2F5C">
              <w:rPr>
                <w:rFonts w:ascii="Cambria" w:hAnsi="Cambria" w:cs="Arial"/>
                <w:b/>
                <w:bCs/>
                <w:sz w:val="24"/>
                <w:szCs w:val="24"/>
              </w:rPr>
              <w:t>C_ReactiveProtein_avg</w:t>
            </w:r>
            <w:proofErr w:type="spellEnd"/>
          </w:p>
        </w:tc>
        <w:tc>
          <w:tcPr>
            <w:tcW w:w="2760" w:type="dxa"/>
            <w:shd w:val="clear" w:color="auto" w:fill="auto"/>
          </w:tcPr>
          <w:p w14:paraId="197F58C4" w14:textId="77777777" w:rsidR="007B26A4" w:rsidRPr="00CD2F5C" w:rsidRDefault="007B26A4" w:rsidP="002B0F75">
            <w:pPr>
              <w:overflowPunct w:val="0"/>
              <w:spacing w:line="360" w:lineRule="auto"/>
              <w:rPr>
                <w:rFonts w:ascii="Cambria" w:hAnsi="Cambria" w:cs="Arial"/>
                <w:b/>
                <w:bCs/>
                <w:sz w:val="24"/>
                <w:szCs w:val="24"/>
              </w:rPr>
            </w:pPr>
          </w:p>
        </w:tc>
        <w:tc>
          <w:tcPr>
            <w:tcW w:w="2625" w:type="dxa"/>
            <w:shd w:val="clear" w:color="auto" w:fill="auto"/>
          </w:tcPr>
          <w:p w14:paraId="457D1BC3" w14:textId="77777777" w:rsidR="007B26A4" w:rsidRPr="00CD2F5C" w:rsidRDefault="007B26A4" w:rsidP="002B0F75">
            <w:pPr>
              <w:overflowPunct w:val="0"/>
              <w:spacing w:line="360" w:lineRule="auto"/>
              <w:rPr>
                <w:rFonts w:ascii="Cambria" w:hAnsi="Cambria" w:cs="Arial"/>
                <w:b/>
                <w:bCs/>
                <w:sz w:val="24"/>
                <w:szCs w:val="24"/>
              </w:rPr>
            </w:pPr>
          </w:p>
        </w:tc>
      </w:tr>
      <w:tr w:rsidR="007B26A4" w:rsidRPr="00CD2F5C" w14:paraId="5F94A0A6" w14:textId="77777777" w:rsidTr="00BF4B86">
        <w:trPr>
          <w:trHeight w:val="300"/>
        </w:trPr>
        <w:tc>
          <w:tcPr>
            <w:tcW w:w="2865" w:type="dxa"/>
            <w:shd w:val="clear" w:color="auto" w:fill="auto"/>
          </w:tcPr>
          <w:p w14:paraId="4A6CB490" w14:textId="77777777" w:rsidR="007B26A4" w:rsidRPr="00CD2F5C" w:rsidRDefault="007B26A4" w:rsidP="002B0F75">
            <w:pPr>
              <w:overflowPunct w:val="0"/>
              <w:spacing w:line="360" w:lineRule="auto"/>
              <w:rPr>
                <w:rFonts w:ascii="Cambria" w:hAnsi="Cambria" w:cs="Arial"/>
                <w:sz w:val="24"/>
                <w:szCs w:val="24"/>
              </w:rPr>
            </w:pPr>
            <w:r w:rsidRPr="00CD2F5C">
              <w:rPr>
                <w:rFonts w:ascii="Cambria" w:hAnsi="Cambria" w:cs="Arial"/>
                <w:sz w:val="24"/>
                <w:szCs w:val="24"/>
              </w:rPr>
              <w:t xml:space="preserve">                   0.72</w:t>
            </w:r>
          </w:p>
        </w:tc>
        <w:tc>
          <w:tcPr>
            <w:tcW w:w="2760" w:type="dxa"/>
            <w:shd w:val="clear" w:color="auto" w:fill="auto"/>
          </w:tcPr>
          <w:p w14:paraId="4757CF4E" w14:textId="77777777" w:rsidR="007B26A4" w:rsidRPr="00CD2F5C" w:rsidRDefault="007B26A4" w:rsidP="002B0F75">
            <w:pPr>
              <w:overflowPunct w:val="0"/>
              <w:spacing w:line="360" w:lineRule="auto"/>
              <w:rPr>
                <w:rFonts w:ascii="Cambria" w:hAnsi="Cambria" w:cs="Arial"/>
                <w:sz w:val="24"/>
                <w:szCs w:val="24"/>
              </w:rPr>
            </w:pPr>
          </w:p>
        </w:tc>
        <w:tc>
          <w:tcPr>
            <w:tcW w:w="2625" w:type="dxa"/>
            <w:shd w:val="clear" w:color="auto" w:fill="auto"/>
          </w:tcPr>
          <w:p w14:paraId="0EB8B8C2" w14:textId="77777777" w:rsidR="007B26A4" w:rsidRPr="00CD2F5C" w:rsidRDefault="007B26A4" w:rsidP="002B0F75">
            <w:pPr>
              <w:overflowPunct w:val="0"/>
              <w:spacing w:line="360" w:lineRule="auto"/>
              <w:rPr>
                <w:rFonts w:ascii="Cambria" w:hAnsi="Cambria" w:cs="Arial"/>
                <w:sz w:val="24"/>
                <w:szCs w:val="24"/>
              </w:rPr>
            </w:pPr>
          </w:p>
        </w:tc>
      </w:tr>
    </w:tbl>
    <w:p w14:paraId="63E3E6A8" w14:textId="77777777" w:rsidR="007B26A4" w:rsidRPr="00CD2F5C" w:rsidRDefault="007B26A4" w:rsidP="002B0F75">
      <w:pPr>
        <w:suppressAutoHyphens/>
        <w:overflowPunct w:val="0"/>
        <w:spacing w:after="0" w:line="360" w:lineRule="auto"/>
        <w:rPr>
          <w:rFonts w:ascii="Cambria" w:eastAsia="Calibri" w:hAnsi="Cambria" w:cs="Arial"/>
          <w:sz w:val="24"/>
          <w:szCs w:val="24"/>
        </w:rPr>
      </w:pPr>
      <w:r w:rsidRPr="00CD2F5C">
        <w:rPr>
          <w:rFonts w:ascii="Cambria" w:eastAsia="Calibri" w:hAnsi="Cambria" w:cs="Arial"/>
          <w:sz w:val="24"/>
          <w:szCs w:val="24"/>
        </w:rPr>
        <w:t xml:space="preserve">Kaiser-Meyer-Olkin factor adequacy. Call: KMO (r = </w:t>
      </w:r>
      <w:proofErr w:type="spellStart"/>
      <w:r w:rsidRPr="00CD2F5C">
        <w:rPr>
          <w:rFonts w:ascii="Cambria" w:eastAsia="Calibri" w:hAnsi="Cambria" w:cs="Arial"/>
          <w:sz w:val="24"/>
          <w:szCs w:val="24"/>
        </w:rPr>
        <w:t>proteinDF_numerics</w:t>
      </w:r>
      <w:proofErr w:type="spellEnd"/>
      <w:r w:rsidRPr="00CD2F5C">
        <w:rPr>
          <w:rFonts w:ascii="Cambria" w:eastAsia="Calibri" w:hAnsi="Cambria" w:cs="Arial"/>
          <w:sz w:val="24"/>
          <w:szCs w:val="24"/>
        </w:rPr>
        <w:t>). Overall Measure of Sampling Adequacy = 0.67.</w:t>
      </w:r>
    </w:p>
    <w:p w14:paraId="39149984" w14:textId="77777777" w:rsidR="007B26A4" w:rsidRPr="00CD2F5C" w:rsidRDefault="007B26A4" w:rsidP="002B0F75">
      <w:pPr>
        <w:suppressAutoHyphens/>
        <w:overflowPunct w:val="0"/>
        <w:spacing w:after="0" w:line="360" w:lineRule="auto"/>
        <w:rPr>
          <w:rFonts w:ascii="Cambria" w:eastAsia="Calibri" w:hAnsi="Cambria" w:cs="Arial"/>
          <w:sz w:val="24"/>
          <w:szCs w:val="24"/>
        </w:rPr>
      </w:pPr>
    </w:p>
    <w:p w14:paraId="665238AA"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eastAsia="Calibri" w:hAnsi="Cambria" w:cs="Arial"/>
          <w:sz w:val="24"/>
          <w:szCs w:val="24"/>
        </w:rPr>
        <w:t xml:space="preserve">The second-step results of the parallel analysis suggested that the number of factors was four and the number of components was two (shown in </w:t>
      </w:r>
      <w:r w:rsidRPr="00CD2F5C">
        <w:rPr>
          <w:rFonts w:ascii="Cambria" w:eastAsia="Calibri" w:hAnsi="Cambria" w:cs="Arial"/>
          <w:b/>
          <w:bCs/>
          <w:sz w:val="24"/>
          <w:szCs w:val="24"/>
        </w:rPr>
        <w:t>Figure S1</w:t>
      </w:r>
      <w:r w:rsidRPr="00CD2F5C">
        <w:rPr>
          <w:rFonts w:ascii="Cambria" w:eastAsia="Calibri" w:hAnsi="Cambria" w:cs="Arial"/>
          <w:sz w:val="24"/>
          <w:szCs w:val="24"/>
        </w:rPr>
        <w:t xml:space="preserve">). After examining the results, it was determined that a good starting point would be exploring three factors, and </w:t>
      </w:r>
      <w:r w:rsidRPr="00CD2F5C">
        <w:rPr>
          <w:rFonts w:ascii="Cambria" w:eastAsia="Calibri" w:hAnsi="Cambria" w:cs="Arial"/>
          <w:sz w:val="24"/>
          <w:szCs w:val="24"/>
        </w:rPr>
        <w:lastRenderedPageBreak/>
        <w:t>the PCA approach was used since it produced higher eigenvalues for the first three factors/components.</w:t>
      </w:r>
    </w:p>
    <w:p w14:paraId="7B54B82E"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hAnsi="Cambria"/>
          <w:noProof/>
          <w:sz w:val="24"/>
          <w:szCs w:val="24"/>
        </w:rPr>
        <mc:AlternateContent>
          <mc:Choice Requires="wps">
            <w:drawing>
              <wp:anchor distT="0" distB="0" distL="114300" distR="114300" simplePos="0" relativeHeight="251661312" behindDoc="0" locked="0" layoutInCell="1" allowOverlap="1" wp14:anchorId="36532779" wp14:editId="2F1E279F">
                <wp:simplePos x="0" y="0"/>
                <wp:positionH relativeFrom="column">
                  <wp:posOffset>1454150</wp:posOffset>
                </wp:positionH>
                <wp:positionV relativeFrom="paragraph">
                  <wp:posOffset>8255</wp:posOffset>
                </wp:positionV>
                <wp:extent cx="2324100" cy="381000"/>
                <wp:effectExtent l="0" t="0" r="0" b="0"/>
                <wp:wrapNone/>
                <wp:docPr id="199625704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381000"/>
                        </a:xfrm>
                        <a:prstGeom prst="rect">
                          <a:avLst/>
                        </a:prstGeom>
                        <a:solidFill>
                          <a:sysClr val="window" lastClr="FFFFFF"/>
                        </a:solidFill>
                        <a:ln w="12700">
                          <a:solidFill>
                            <a:sysClr val="window" lastClr="FFFFFF"/>
                          </a:solidFill>
                          <a:prstDash val="solid"/>
                          <a:miter lim="800000"/>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07EA89A9">
              <v:rect id="Rectangle 1" style="position:absolute;margin-left:114.5pt;margin-top:.65pt;width:183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window" strokecolor="window" strokeweight="1pt" w14:anchorId="0D305D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">
                <v:path arrowok="t"/>
              </v:rect>
            </w:pict>
          </mc:Fallback>
        </mc:AlternateContent>
      </w:r>
      <w:r w:rsidRPr="00CD2F5C">
        <w:rPr>
          <w:rFonts w:ascii="Cambria" w:eastAsia="Calibri" w:hAnsi="Cambria" w:cs="Arial"/>
          <w:noProof/>
          <w:sz w:val="24"/>
          <w:szCs w:val="24"/>
        </w:rPr>
        <w:drawing>
          <wp:inline distT="0" distB="0" distL="0" distR="0" wp14:anchorId="32E2D05C" wp14:editId="42602BD8">
            <wp:extent cx="4641850" cy="3190583"/>
            <wp:effectExtent l="0" t="0" r="6350" b="0"/>
            <wp:docPr id="527259318" name="Picture 52725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12798"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t="3774"/>
                    <a:stretch>
                      <a:fillRect/>
                    </a:stretch>
                  </pic:blipFill>
                  <pic:spPr bwMode="auto">
                    <a:xfrm>
                      <a:off x="0" y="0"/>
                      <a:ext cx="4672221" cy="3211458"/>
                    </a:xfrm>
                    <a:prstGeom prst="rect">
                      <a:avLst/>
                    </a:prstGeom>
                    <a:noFill/>
                    <a:ln>
                      <a:noFill/>
                    </a:ln>
                    <a:extLst>
                      <a:ext uri="{53640926-AAD7-44D8-BBD7-CCE9431645EC}">
                        <a14:shadowObscured xmlns:a14="http://schemas.microsoft.com/office/drawing/2010/main"/>
                      </a:ext>
                    </a:extLst>
                  </pic:spPr>
                </pic:pic>
              </a:graphicData>
            </a:graphic>
          </wp:inline>
        </w:drawing>
      </w:r>
    </w:p>
    <w:p w14:paraId="7C2AC886"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b/>
          <w:bCs/>
          <w:sz w:val="24"/>
          <w:szCs w:val="24"/>
        </w:rPr>
        <w:t>Figure S1. Parallel Analysis Scree Plots</w:t>
      </w:r>
    </w:p>
    <w:p w14:paraId="105BBACA" w14:textId="77777777" w:rsidR="007B26A4" w:rsidRPr="00CD2F5C" w:rsidRDefault="007B26A4" w:rsidP="002B0F75">
      <w:pPr>
        <w:suppressAutoHyphens/>
        <w:overflowPunct w:val="0"/>
        <w:spacing w:after="0" w:line="360" w:lineRule="auto"/>
        <w:rPr>
          <w:rFonts w:ascii="Cambria" w:eastAsia="Calibri" w:hAnsi="Cambria" w:cs="Arial"/>
          <w:sz w:val="24"/>
          <w:szCs w:val="24"/>
        </w:rPr>
      </w:pPr>
      <w:r w:rsidRPr="00CD2F5C">
        <w:rPr>
          <w:rFonts w:ascii="Cambria" w:eastAsia="Calibri" w:hAnsi="Cambria" w:cs="Arial"/>
          <w:sz w:val="24"/>
          <w:szCs w:val="24"/>
        </w:rPr>
        <w:t>FA, factor analysis; PC, principal component.</w:t>
      </w:r>
    </w:p>
    <w:p w14:paraId="2A197F79" w14:textId="77777777" w:rsidR="007B26A4" w:rsidRPr="00CD2F5C" w:rsidRDefault="007B26A4" w:rsidP="002B0F75">
      <w:pPr>
        <w:suppressAutoHyphens/>
        <w:overflowPunct w:val="0"/>
        <w:spacing w:after="0" w:line="360" w:lineRule="auto"/>
        <w:rPr>
          <w:rFonts w:ascii="Cambria" w:eastAsia="Calibri" w:hAnsi="Cambria" w:cs="Arial"/>
          <w:sz w:val="24"/>
          <w:szCs w:val="24"/>
        </w:rPr>
      </w:pPr>
    </w:p>
    <w:p w14:paraId="2F3BFF41"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eastAsia="Calibri" w:hAnsi="Cambria" w:cs="Arial"/>
          <w:sz w:val="24"/>
          <w:szCs w:val="24"/>
        </w:rPr>
        <w:t xml:space="preserve">Performing a hierarchical cluster analysis also indicated that a 3-factor structure was a sensible solution, as demonstrated in </w:t>
      </w:r>
      <w:r w:rsidRPr="00CD2F5C">
        <w:rPr>
          <w:rFonts w:ascii="Cambria" w:eastAsia="Calibri" w:hAnsi="Cambria" w:cs="Arial"/>
          <w:b/>
          <w:bCs/>
          <w:sz w:val="24"/>
          <w:szCs w:val="24"/>
        </w:rPr>
        <w:t>Figure S2</w:t>
      </w:r>
      <w:r w:rsidRPr="00CD2F5C">
        <w:rPr>
          <w:rFonts w:ascii="Cambria" w:eastAsia="Calibri" w:hAnsi="Cambria" w:cs="Arial"/>
          <w:sz w:val="24"/>
          <w:szCs w:val="24"/>
        </w:rPr>
        <w:t>.</w:t>
      </w:r>
    </w:p>
    <w:p w14:paraId="2BBC203B" w14:textId="77777777" w:rsidR="007B26A4" w:rsidRPr="00CD2F5C" w:rsidRDefault="007B26A4" w:rsidP="002B0F75">
      <w:pPr>
        <w:suppressAutoHyphens/>
        <w:overflowPunct w:val="0"/>
        <w:spacing w:after="0" w:line="360" w:lineRule="auto"/>
        <w:rPr>
          <w:rFonts w:ascii="Cambria" w:eastAsia="Calibri" w:hAnsi="Cambria" w:cs="Arial"/>
          <w:sz w:val="24"/>
          <w:szCs w:val="24"/>
        </w:rPr>
      </w:pPr>
      <w:r w:rsidRPr="00CD2F5C">
        <w:rPr>
          <w:rFonts w:ascii="Cambria" w:eastAsia="Calibri" w:hAnsi="Cambria" w:cs="Arial"/>
          <w:noProof/>
          <w:sz w:val="24"/>
          <w:szCs w:val="24"/>
        </w:rPr>
        <w:lastRenderedPageBreak/>
        <w:drawing>
          <wp:inline distT="0" distB="0" distL="0" distR="0" wp14:anchorId="7E7ECFD0" wp14:editId="61F7504D">
            <wp:extent cx="3937000" cy="3709863"/>
            <wp:effectExtent l="0" t="0" r="6350" b="5080"/>
            <wp:docPr id="1251360263" name="Picture 125136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35455"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t="7385" b="10162"/>
                    <a:stretch>
                      <a:fillRect/>
                    </a:stretch>
                  </pic:blipFill>
                  <pic:spPr bwMode="auto">
                    <a:xfrm>
                      <a:off x="0" y="0"/>
                      <a:ext cx="3953352" cy="3725272"/>
                    </a:xfrm>
                    <a:prstGeom prst="rect">
                      <a:avLst/>
                    </a:prstGeom>
                    <a:noFill/>
                    <a:ln>
                      <a:noFill/>
                    </a:ln>
                    <a:extLst>
                      <a:ext uri="{53640926-AAD7-44D8-BBD7-CCE9431645EC}">
                        <a14:shadowObscured xmlns:a14="http://schemas.microsoft.com/office/drawing/2010/main"/>
                      </a:ext>
                    </a:extLst>
                  </pic:spPr>
                </pic:pic>
              </a:graphicData>
            </a:graphic>
          </wp:inline>
        </w:drawing>
      </w:r>
    </w:p>
    <w:p w14:paraId="6B2D3313"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b/>
          <w:bCs/>
          <w:sz w:val="24"/>
          <w:szCs w:val="24"/>
        </w:rPr>
        <w:t>Figure S2. Cluster Dendrogram</w:t>
      </w:r>
    </w:p>
    <w:p w14:paraId="400D5038" w14:textId="77777777" w:rsidR="007B26A4" w:rsidRPr="00CD2F5C" w:rsidRDefault="007B26A4" w:rsidP="002B0F75">
      <w:pPr>
        <w:suppressAutoHyphens/>
        <w:overflowPunct w:val="0"/>
        <w:spacing w:after="0" w:line="360" w:lineRule="auto"/>
        <w:rPr>
          <w:rFonts w:ascii="Cambria" w:eastAsia="Calibri" w:hAnsi="Cambria" w:cs="Arial"/>
          <w:sz w:val="24"/>
          <w:szCs w:val="24"/>
        </w:rPr>
      </w:pPr>
    </w:p>
    <w:p w14:paraId="59CB58F9" w14:textId="77777777" w:rsidR="007B26A4" w:rsidRPr="00CD2F5C" w:rsidRDefault="007B26A4" w:rsidP="002B0F75">
      <w:pPr>
        <w:suppressAutoHyphens/>
        <w:overflowPunct w:val="0"/>
        <w:spacing w:after="0" w:line="360" w:lineRule="auto"/>
        <w:rPr>
          <w:rFonts w:ascii="Cambria" w:eastAsia="Calibri" w:hAnsi="Cambria" w:cs="Arial"/>
          <w:sz w:val="24"/>
          <w:szCs w:val="24"/>
        </w:rPr>
      </w:pPr>
      <w:r w:rsidRPr="00CD2F5C">
        <w:rPr>
          <w:rFonts w:ascii="Cambria" w:eastAsia="Calibri" w:hAnsi="Cambria" w:cs="Arial"/>
          <w:sz w:val="24"/>
          <w:szCs w:val="24"/>
        </w:rPr>
        <w:t>The results of the factor analysis with three factors showed a mean item complexity = 1.3 (the test of the hypothesis that three components were sufficient). The root mean square of the residuals (RMSR) was 0.11 with an empirical chi-square of 2362.57 (probability &lt; 0). The fit based upon the off-diagonal values was 0.5.</w:t>
      </w:r>
    </w:p>
    <w:p w14:paraId="6921201F" w14:textId="77777777" w:rsidR="007B26A4" w:rsidRPr="00CD2F5C" w:rsidRDefault="007B26A4" w:rsidP="002B0F75">
      <w:pPr>
        <w:suppressAutoHyphens/>
        <w:overflowPunct w:val="0"/>
        <w:spacing w:after="0" w:line="360" w:lineRule="auto"/>
        <w:rPr>
          <w:rFonts w:ascii="Cambria" w:eastAsia="Calibri" w:hAnsi="Cambria" w:cs="Arial"/>
          <w:sz w:val="24"/>
          <w:szCs w:val="24"/>
        </w:rPr>
      </w:pPr>
    </w:p>
    <w:p w14:paraId="36DA3308"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noProof/>
          <w:sz w:val="24"/>
          <w:szCs w:val="24"/>
        </w:rPr>
        <w:lastRenderedPageBreak/>
        <w:drawing>
          <wp:inline distT="0" distB="0" distL="0" distR="0" wp14:anchorId="67D08FFC" wp14:editId="4730939C">
            <wp:extent cx="4291965" cy="2628900"/>
            <wp:effectExtent l="0" t="0" r="0" b="0"/>
            <wp:docPr id="1827787264" name="Picture 182778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56165"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t="7294" b="6958"/>
                    <a:stretch>
                      <a:fillRect/>
                    </a:stretch>
                  </pic:blipFill>
                  <pic:spPr bwMode="auto">
                    <a:xfrm>
                      <a:off x="0" y="0"/>
                      <a:ext cx="4315065" cy="2643049"/>
                    </a:xfrm>
                    <a:prstGeom prst="rect">
                      <a:avLst/>
                    </a:prstGeom>
                    <a:noFill/>
                    <a:ln>
                      <a:noFill/>
                    </a:ln>
                    <a:extLst>
                      <a:ext uri="{53640926-AAD7-44D8-BBD7-CCE9431645EC}">
                        <a14:shadowObscured xmlns:a14="http://schemas.microsoft.com/office/drawing/2010/main"/>
                      </a:ext>
                    </a:extLst>
                  </pic:spPr>
                </pic:pic>
              </a:graphicData>
            </a:graphic>
          </wp:inline>
        </w:drawing>
      </w:r>
    </w:p>
    <w:p w14:paraId="6BE497B7"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b/>
          <w:bCs/>
          <w:sz w:val="24"/>
          <w:szCs w:val="24"/>
        </w:rPr>
        <w:t>Figure S3. Component analysis</w:t>
      </w:r>
    </w:p>
    <w:p w14:paraId="3B9D3134" w14:textId="77777777" w:rsidR="007B26A4" w:rsidRPr="00CD2F5C" w:rsidRDefault="007B26A4" w:rsidP="002B0F75">
      <w:pPr>
        <w:suppressAutoHyphens/>
        <w:overflowPunct w:val="0"/>
        <w:spacing w:after="0" w:line="360" w:lineRule="auto"/>
        <w:rPr>
          <w:rFonts w:ascii="Cambria" w:eastAsia="Calibri" w:hAnsi="Cambria" w:cs="Arial"/>
          <w:sz w:val="24"/>
          <w:szCs w:val="24"/>
        </w:rPr>
      </w:pPr>
      <w:r w:rsidRPr="00CD2F5C">
        <w:rPr>
          <w:rFonts w:ascii="Cambria" w:eastAsia="Calibri" w:hAnsi="Cambria" w:cs="Arial"/>
          <w:sz w:val="24"/>
          <w:szCs w:val="24"/>
        </w:rPr>
        <w:t>Bold-line arrows represent main factor loadings, and dashed red lines represent cross-loadings.</w:t>
      </w:r>
    </w:p>
    <w:p w14:paraId="18757D1F" w14:textId="77777777" w:rsidR="007B26A4" w:rsidRPr="00CD2F5C" w:rsidRDefault="007B26A4" w:rsidP="002B0F75">
      <w:pPr>
        <w:suppressAutoHyphens/>
        <w:overflowPunct w:val="0"/>
        <w:spacing w:after="0" w:line="360" w:lineRule="auto"/>
        <w:rPr>
          <w:rFonts w:ascii="Cambria" w:eastAsia="Calibri" w:hAnsi="Cambria" w:cs="Arial"/>
          <w:sz w:val="24"/>
          <w:szCs w:val="24"/>
        </w:rPr>
      </w:pPr>
    </w:p>
    <w:p w14:paraId="6E4DD0F2" w14:textId="77777777" w:rsidR="007B26A4" w:rsidRPr="00CD2F5C" w:rsidRDefault="007B26A4" w:rsidP="002B0F75">
      <w:pPr>
        <w:suppressAutoHyphens/>
        <w:overflowPunct w:val="0"/>
        <w:spacing w:after="247" w:line="360" w:lineRule="auto"/>
        <w:rPr>
          <w:rFonts w:ascii="Cambria" w:eastAsia="Calibri" w:hAnsi="Cambria" w:cs="Arial"/>
          <w:i/>
          <w:iCs/>
          <w:sz w:val="24"/>
          <w:szCs w:val="24"/>
        </w:rPr>
      </w:pPr>
      <w:r w:rsidRPr="00CD2F5C">
        <w:rPr>
          <w:rFonts w:ascii="Cambria" w:eastAsia="Calibri" w:hAnsi="Cambria" w:cs="Arial"/>
          <w:i/>
          <w:iCs/>
          <w:sz w:val="24"/>
          <w:szCs w:val="24"/>
        </w:rPr>
        <w:t>SEM for chronic pain and relevant UKB variables</w:t>
      </w:r>
    </w:p>
    <w:p w14:paraId="3A55C714" w14:textId="0CAA38F6"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sz w:val="24"/>
          <w:szCs w:val="24"/>
        </w:rPr>
        <w:t>Based on the visualizations in the component analysis (</w:t>
      </w:r>
      <w:r w:rsidRPr="00CD2F5C">
        <w:rPr>
          <w:rFonts w:ascii="Cambria" w:eastAsia="Calibri" w:hAnsi="Cambria" w:cs="Arial"/>
          <w:b/>
          <w:bCs/>
          <w:sz w:val="24"/>
          <w:szCs w:val="24"/>
        </w:rPr>
        <w:t>Figure S3</w:t>
      </w:r>
      <w:r w:rsidRPr="00CD2F5C">
        <w:rPr>
          <w:rFonts w:ascii="Cambria" w:eastAsia="Calibri" w:hAnsi="Cambria" w:cs="Arial"/>
          <w:sz w:val="24"/>
          <w:szCs w:val="24"/>
        </w:rPr>
        <w:t xml:space="preserve">), the variables tended to show three main groups: one related to anxiety, another related to childhood adversity, and the final one containing CRP in isolation along with history of sexual abuse. Some variables were ultimately excluded to improve the goodness of fit. In particular, discussing anxiety with a professional and sexual abuse experience both decreased the fit considerably. Our assumption in the case of sexual abuse is that it is not a commonly reported experience in databases available for CRP levels, so the limited experiences may have dominated over the rest of the variables. For discussing anxiety with a professional, it is not clear why including it reduced the fit, but it may be worth exploring in future </w:t>
      </w:r>
      <w:r w:rsidR="0003790A" w:rsidRPr="00CD2F5C">
        <w:rPr>
          <w:rFonts w:ascii="Cambria" w:eastAsia="Calibri" w:hAnsi="Cambria" w:cs="Arial"/>
          <w:sz w:val="24"/>
          <w:szCs w:val="24"/>
        </w:rPr>
        <w:t>modelling</w:t>
      </w:r>
      <w:r w:rsidRPr="00CD2F5C">
        <w:rPr>
          <w:rFonts w:ascii="Cambria" w:eastAsia="Calibri" w:hAnsi="Cambria" w:cs="Arial"/>
          <w:sz w:val="24"/>
          <w:szCs w:val="24"/>
        </w:rPr>
        <w:t>. The final best fit achieved is shown in the following diagram (</w:t>
      </w:r>
      <w:r w:rsidRPr="00CD2F5C">
        <w:rPr>
          <w:rFonts w:ascii="Cambria" w:eastAsia="Calibri" w:hAnsi="Cambria" w:cs="Arial"/>
          <w:b/>
          <w:bCs/>
          <w:sz w:val="24"/>
          <w:szCs w:val="24"/>
        </w:rPr>
        <w:t>Figure S4</w:t>
      </w:r>
      <w:r w:rsidRPr="00CD2F5C">
        <w:rPr>
          <w:rFonts w:ascii="Cambria" w:eastAsia="Calibri" w:hAnsi="Cambria" w:cs="Arial"/>
          <w:sz w:val="24"/>
          <w:szCs w:val="24"/>
        </w:rPr>
        <w:t>).</w:t>
      </w:r>
    </w:p>
    <w:p w14:paraId="07C32B27"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eastAsia="Calibri" w:hAnsi="Cambria" w:cs="Arial"/>
          <w:noProof/>
          <w:sz w:val="24"/>
          <w:szCs w:val="24"/>
        </w:rPr>
        <w:lastRenderedPageBreak/>
        <w:drawing>
          <wp:inline distT="0" distB="0" distL="0" distR="0" wp14:anchorId="2D9B9214" wp14:editId="443FCAE7">
            <wp:extent cx="5943600" cy="4245610"/>
            <wp:effectExtent l="0" t="0" r="0" b="2540"/>
            <wp:docPr id="71110000" name="Picture 711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46262" name="Picture 4"/>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5943600" cy="4245610"/>
                    </a:xfrm>
                    <a:prstGeom prst="rect">
                      <a:avLst/>
                    </a:prstGeom>
                    <a:noFill/>
                    <a:ln>
                      <a:noFill/>
                    </a:ln>
                  </pic:spPr>
                </pic:pic>
              </a:graphicData>
            </a:graphic>
          </wp:inline>
        </w:drawing>
      </w:r>
    </w:p>
    <w:p w14:paraId="655B2552" w14:textId="77777777" w:rsidR="007B26A4" w:rsidRPr="00CD2F5C" w:rsidRDefault="007B26A4" w:rsidP="002B0F75">
      <w:pPr>
        <w:suppressAutoHyphens/>
        <w:overflowPunct w:val="0"/>
        <w:spacing w:after="0" w:line="360" w:lineRule="auto"/>
        <w:rPr>
          <w:rFonts w:ascii="Cambria" w:eastAsia="Calibri" w:hAnsi="Cambria" w:cs="Arial"/>
          <w:b/>
          <w:bCs/>
          <w:sz w:val="24"/>
          <w:szCs w:val="24"/>
        </w:rPr>
      </w:pPr>
      <w:r w:rsidRPr="00CD2F5C">
        <w:rPr>
          <w:rFonts w:ascii="Cambria" w:eastAsia="Calibri" w:hAnsi="Cambria" w:cs="Arial"/>
          <w:b/>
          <w:bCs/>
          <w:sz w:val="24"/>
          <w:szCs w:val="24"/>
        </w:rPr>
        <w:t>Figure S4. Diagram illustrating the best fit for the SEM</w:t>
      </w:r>
    </w:p>
    <w:p w14:paraId="74B3B6CB" w14:textId="77777777" w:rsidR="007B26A4" w:rsidRPr="00CD2F5C" w:rsidRDefault="007B26A4" w:rsidP="002B0F75">
      <w:pPr>
        <w:suppressAutoHyphens/>
        <w:overflowPunct w:val="0"/>
        <w:spacing w:after="0" w:line="360" w:lineRule="auto"/>
        <w:rPr>
          <w:rFonts w:ascii="Cambria" w:eastAsia="Calibri" w:hAnsi="Cambria" w:cs="Arial"/>
          <w:sz w:val="24"/>
          <w:szCs w:val="24"/>
        </w:rPr>
      </w:pPr>
      <w:r w:rsidRPr="00CD2F5C">
        <w:rPr>
          <w:rFonts w:ascii="Cambria" w:eastAsia="Calibri" w:hAnsi="Cambria" w:cs="Arial"/>
          <w:sz w:val="24"/>
          <w:szCs w:val="24"/>
        </w:rPr>
        <w:t xml:space="preserve">This model has the following fit parameters: (in parentheses are the necessary values for a good fit) CFI: 0.975 (&gt; 0.90), TFI: 0.948 (&gt; 0.90), RMSE: 0.026 (&lt; 0.05), </w:t>
      </w:r>
      <w:r w:rsidRPr="00CD2F5C">
        <w:rPr>
          <w:rFonts w:ascii="Cambria" w:eastAsia="Calibri" w:hAnsi="Cambria" w:cs="Arial"/>
          <w:b/>
          <w:bCs/>
          <w:sz w:val="24"/>
          <w:szCs w:val="24"/>
        </w:rPr>
        <w:t>χ</w:t>
      </w:r>
      <w:r w:rsidRPr="00CD2F5C">
        <w:rPr>
          <w:rFonts w:ascii="Cambria" w:eastAsia="Calibri" w:hAnsi="Cambria" w:cs="Arial"/>
          <w:sz w:val="24"/>
          <w:szCs w:val="24"/>
        </w:rPr>
        <w:t>² / </w:t>
      </w:r>
      <w:proofErr w:type="spellStart"/>
      <w:r w:rsidRPr="00CD2F5C">
        <w:rPr>
          <w:rFonts w:ascii="Cambria" w:eastAsia="Calibri" w:hAnsi="Cambria" w:cs="Arial"/>
          <w:i/>
          <w:iCs/>
          <w:sz w:val="24"/>
          <w:szCs w:val="24"/>
        </w:rPr>
        <w:t>df</w:t>
      </w:r>
      <w:proofErr w:type="spellEnd"/>
      <w:r w:rsidRPr="00CD2F5C">
        <w:rPr>
          <w:rFonts w:ascii="Cambria" w:eastAsia="Calibri" w:hAnsi="Cambria" w:cs="Arial"/>
          <w:sz w:val="24"/>
          <w:szCs w:val="24"/>
        </w:rPr>
        <w:t> = 2.36 (&lt; 3).</w:t>
      </w:r>
    </w:p>
    <w:p w14:paraId="2D787B30" w14:textId="77777777" w:rsidR="007B26A4" w:rsidRPr="00CD2F5C" w:rsidRDefault="007B26A4" w:rsidP="002B0F75">
      <w:pPr>
        <w:suppressAutoHyphens/>
        <w:overflowPunct w:val="0"/>
        <w:spacing w:after="0" w:line="360" w:lineRule="auto"/>
        <w:rPr>
          <w:rFonts w:ascii="Cambria" w:eastAsia="Calibri" w:hAnsi="Cambria" w:cs="Arial"/>
          <w:sz w:val="24"/>
          <w:szCs w:val="24"/>
        </w:rPr>
      </w:pPr>
    </w:p>
    <w:p w14:paraId="021ABA95" w14:textId="77777777" w:rsidR="007B26A4" w:rsidRPr="00CD2F5C" w:rsidRDefault="007B26A4" w:rsidP="002B0F75">
      <w:pPr>
        <w:suppressAutoHyphens/>
        <w:overflowPunct w:val="0"/>
        <w:spacing w:after="247" w:line="360" w:lineRule="auto"/>
        <w:rPr>
          <w:rFonts w:ascii="Cambria" w:eastAsia="Calibri" w:hAnsi="Cambria" w:cs="Arial"/>
          <w:sz w:val="24"/>
          <w:szCs w:val="24"/>
        </w:rPr>
      </w:pPr>
      <w:r w:rsidRPr="00CD2F5C">
        <w:rPr>
          <w:rFonts w:ascii="Cambria" w:eastAsia="Calibri" w:hAnsi="Cambria" w:cs="Arial"/>
          <w:sz w:val="24"/>
          <w:szCs w:val="24"/>
        </w:rPr>
        <w:t>This model considered subjective reports of anxiety as measurements of anxiety, modelled as a latent construct. Anxiety had a strong association with chronic pain. It could be suggested that CRP levels are part of a larger physiochemical response that is associated with chronic pain. Childhood trauma is modelled as measured by physical abuse, feeling hated as a child, and lack of availability of medical care when needed during childhood. Additionally, in this model, chronic pain was a latent variable measured only by the number of reports of pain over the years. Based on this, anxiety, childhood abuse, and CRP were indeed predictors of chronic pain. Childhood abuse, however, does not predict it very well when compared with the other two variables. Anxiety was by far the best predictor of chronic pain according to the SEM.</w:t>
      </w:r>
    </w:p>
    <w:p w14:paraId="567486F2" w14:textId="77777777" w:rsidR="007B26A4" w:rsidRPr="00CD2F5C" w:rsidRDefault="007B26A4" w:rsidP="002B0F75">
      <w:pPr>
        <w:suppressAutoHyphens/>
        <w:overflowPunct w:val="0"/>
        <w:spacing w:after="0" w:line="360" w:lineRule="auto"/>
        <w:rPr>
          <w:rFonts w:ascii="Cambria" w:eastAsia="Calibri" w:hAnsi="Cambria" w:cs="Calibri"/>
          <w:color w:val="000000"/>
          <w:sz w:val="24"/>
          <w:szCs w:val="24"/>
        </w:rPr>
      </w:pPr>
    </w:p>
    <w:p w14:paraId="4F69E12F" w14:textId="77777777" w:rsidR="007B26A4" w:rsidRPr="00CD2F5C" w:rsidRDefault="007B26A4" w:rsidP="002B0F75">
      <w:pPr>
        <w:suppressAutoHyphens/>
        <w:overflowPunct w:val="0"/>
        <w:spacing w:after="247" w:line="360" w:lineRule="auto"/>
        <w:ind w:left="-5" w:hanging="10"/>
        <w:rPr>
          <w:rFonts w:ascii="Cambria" w:eastAsia="Calibri" w:hAnsi="Cambria" w:cs="Arial"/>
          <w:i/>
          <w:iCs/>
          <w:color w:val="000000"/>
          <w:sz w:val="24"/>
          <w:szCs w:val="24"/>
        </w:rPr>
      </w:pPr>
      <w:r w:rsidRPr="00CD2F5C">
        <w:rPr>
          <w:rFonts w:ascii="Cambria" w:eastAsia="Calibri" w:hAnsi="Cambria" w:cs="Arial"/>
          <w:i/>
          <w:iCs/>
          <w:color w:val="000000"/>
          <w:sz w:val="24"/>
          <w:szCs w:val="24"/>
        </w:rPr>
        <w:t>Individual effects of anxiety and ACEs</w:t>
      </w:r>
    </w:p>
    <w:p w14:paraId="2BF0AECD" w14:textId="77777777" w:rsidR="007B26A4" w:rsidRPr="00CD2F5C" w:rsidRDefault="007B26A4" w:rsidP="002B0F75">
      <w:pPr>
        <w:suppressAutoHyphens/>
        <w:overflowPunct w:val="0"/>
        <w:spacing w:after="247" w:line="360" w:lineRule="auto"/>
        <w:ind w:left="-5" w:hanging="10"/>
        <w:rPr>
          <w:rFonts w:ascii="Cambria" w:eastAsia="Calibri" w:hAnsi="Cambria" w:cs="Arial"/>
          <w:color w:val="000000"/>
          <w:sz w:val="24"/>
          <w:szCs w:val="24"/>
        </w:rPr>
      </w:pPr>
      <w:r w:rsidRPr="00CD2F5C">
        <w:rPr>
          <w:rFonts w:ascii="Cambria" w:eastAsia="Calibri" w:hAnsi="Cambria" w:cs="Arial"/>
          <w:color w:val="000000"/>
          <w:sz w:val="24"/>
          <w:szCs w:val="24"/>
        </w:rPr>
        <w:t xml:space="preserve">As shown in </w:t>
      </w:r>
      <w:r w:rsidRPr="00CD2F5C">
        <w:rPr>
          <w:rFonts w:ascii="Cambria" w:eastAsia="Calibri" w:hAnsi="Cambria" w:cs="Arial"/>
          <w:b/>
          <w:bCs/>
          <w:color w:val="000000"/>
          <w:sz w:val="24"/>
          <w:szCs w:val="24"/>
        </w:rPr>
        <w:t>Figure S5</w:t>
      </w:r>
      <w:r w:rsidRPr="00CD2F5C">
        <w:rPr>
          <w:rFonts w:ascii="Cambria" w:eastAsia="Calibri" w:hAnsi="Cambria" w:cs="Arial"/>
          <w:color w:val="000000"/>
          <w:sz w:val="24"/>
          <w:szCs w:val="24"/>
        </w:rPr>
        <w:t>, patients who reported feeling hated more frequently as a child reported more chronic pain in adulthood (</w:t>
      </w:r>
      <w:r w:rsidRPr="00CD2F5C">
        <w:rPr>
          <w:rFonts w:ascii="Cambria" w:eastAsia="Calibri" w:hAnsi="Cambria" w:cs="Arial"/>
          <w:b/>
          <w:bCs/>
          <w:color w:val="000000"/>
          <w:sz w:val="24"/>
          <w:szCs w:val="24"/>
        </w:rPr>
        <w:t>part D</w:t>
      </w:r>
      <w:r w:rsidRPr="00CD2F5C">
        <w:rPr>
          <w:rFonts w:ascii="Cambria" w:eastAsia="Calibri" w:hAnsi="Cambria" w:cs="Arial"/>
          <w:color w:val="000000"/>
          <w:sz w:val="24"/>
          <w:szCs w:val="24"/>
        </w:rPr>
        <w:t>). The frequency of physical abuse suffered as a child had an influence on chronic pain during adulthood, increasing how often chronic pain was reported (</w:t>
      </w:r>
      <w:r w:rsidRPr="00CD2F5C">
        <w:rPr>
          <w:rFonts w:ascii="Cambria" w:eastAsia="Calibri" w:hAnsi="Cambria" w:cs="Arial"/>
          <w:b/>
          <w:bCs/>
          <w:color w:val="000000"/>
          <w:sz w:val="24"/>
          <w:szCs w:val="24"/>
        </w:rPr>
        <w:t>part C</w:t>
      </w:r>
      <w:r w:rsidRPr="00CD2F5C">
        <w:rPr>
          <w:rFonts w:ascii="Cambria" w:eastAsia="Calibri" w:hAnsi="Cambria" w:cs="Arial"/>
          <w:color w:val="000000"/>
          <w:sz w:val="24"/>
          <w:szCs w:val="24"/>
        </w:rPr>
        <w:t>). Patients who reported being sexually abused more frequently as children had a slightly increased number of chronic pain experiences reported (</w:t>
      </w:r>
      <w:r w:rsidRPr="00CD2F5C">
        <w:rPr>
          <w:rFonts w:ascii="Cambria" w:eastAsia="Calibri" w:hAnsi="Cambria" w:cs="Arial"/>
          <w:b/>
          <w:bCs/>
          <w:color w:val="000000"/>
          <w:sz w:val="24"/>
          <w:szCs w:val="24"/>
        </w:rPr>
        <w:t>part A</w:t>
      </w:r>
      <w:r w:rsidRPr="00CD2F5C">
        <w:rPr>
          <w:rFonts w:ascii="Cambria" w:eastAsia="Calibri" w:hAnsi="Cambria" w:cs="Arial"/>
          <w:color w:val="000000"/>
          <w:sz w:val="24"/>
          <w:szCs w:val="24"/>
        </w:rPr>
        <w:t>). Patients who reported being taken to the doctor more frequently as children displayed slightly fewer reports of chronic pain during adulthood (</w:t>
      </w:r>
      <w:r w:rsidRPr="00CD2F5C">
        <w:rPr>
          <w:rFonts w:ascii="Cambria" w:eastAsia="Calibri" w:hAnsi="Cambria" w:cs="Arial"/>
          <w:b/>
          <w:bCs/>
          <w:color w:val="000000"/>
          <w:sz w:val="24"/>
          <w:szCs w:val="24"/>
        </w:rPr>
        <w:t>part B</w:t>
      </w:r>
      <w:r w:rsidRPr="00CD2F5C">
        <w:rPr>
          <w:rFonts w:ascii="Cambria" w:eastAsia="Calibri" w:hAnsi="Cambria" w:cs="Arial"/>
          <w:color w:val="000000"/>
          <w:sz w:val="24"/>
          <w:szCs w:val="24"/>
        </w:rPr>
        <w:t>). An increased report of having trouble relaxing during anxiety episodes was associated with an increase in the reported frequency of chronic pain (</w:t>
      </w:r>
      <w:r w:rsidRPr="00CD2F5C">
        <w:rPr>
          <w:rFonts w:ascii="Cambria" w:eastAsia="Calibri" w:hAnsi="Cambria" w:cs="Arial"/>
          <w:b/>
          <w:bCs/>
          <w:color w:val="000000"/>
          <w:sz w:val="24"/>
          <w:szCs w:val="24"/>
        </w:rPr>
        <w:t>part E</w:t>
      </w:r>
      <w:r w:rsidRPr="00CD2F5C">
        <w:rPr>
          <w:rFonts w:ascii="Cambria" w:eastAsia="Calibri" w:hAnsi="Cambria" w:cs="Arial"/>
          <w:color w:val="000000"/>
          <w:sz w:val="24"/>
          <w:szCs w:val="24"/>
        </w:rPr>
        <w:t>). Patients who experienced muscle symptoms during anxiety episodes reported more chronic pain than those who did not experience muscular symptoms with anxiety (</w:t>
      </w:r>
      <w:r w:rsidRPr="00CD2F5C">
        <w:rPr>
          <w:rFonts w:ascii="Cambria" w:eastAsia="Calibri" w:hAnsi="Cambria" w:cs="Arial"/>
          <w:b/>
          <w:bCs/>
          <w:color w:val="000000"/>
          <w:sz w:val="24"/>
          <w:szCs w:val="24"/>
        </w:rPr>
        <w:t>part F</w:t>
      </w:r>
      <w:r w:rsidRPr="00CD2F5C">
        <w:rPr>
          <w:rFonts w:ascii="Cambria" w:eastAsia="Calibri" w:hAnsi="Cambria" w:cs="Arial"/>
          <w:color w:val="000000"/>
          <w:sz w:val="24"/>
          <w:szCs w:val="24"/>
        </w:rPr>
        <w:t>).</w:t>
      </w:r>
      <w:r w:rsidRPr="00CD2F5C">
        <w:rPr>
          <w:rFonts w:ascii="Cambria" w:eastAsia="Calibri" w:hAnsi="Cambria" w:cs="Calibri"/>
          <w:color w:val="000000"/>
          <w:sz w:val="24"/>
          <w:szCs w:val="24"/>
        </w:rPr>
        <w:t xml:space="preserve"> </w:t>
      </w:r>
      <w:r w:rsidRPr="00CD2F5C">
        <w:rPr>
          <w:rFonts w:ascii="Cambria" w:eastAsia="Calibri" w:hAnsi="Cambria" w:cs="Arial"/>
          <w:color w:val="000000"/>
          <w:sz w:val="24"/>
          <w:szCs w:val="24"/>
        </w:rPr>
        <w:t>These partial regression plots show the estimated relationship between the response and an explanatory variable after accounting for the other variables in the model (the bold line/dots show the association between variables; the shaded area represents confidence</w:t>
      </w:r>
      <w:r w:rsidRPr="00CD2F5C">
        <w:rPr>
          <w:rFonts w:ascii="Cambria" w:eastAsia="Calibri" w:hAnsi="Cambria" w:cs="Calibri"/>
          <w:color w:val="000000"/>
          <w:sz w:val="24"/>
          <w:szCs w:val="24"/>
        </w:rPr>
        <w:t xml:space="preserve"> </w:t>
      </w:r>
      <w:r w:rsidRPr="00CD2F5C">
        <w:rPr>
          <w:rFonts w:ascii="Cambria" w:eastAsia="Calibri" w:hAnsi="Cambria" w:cs="Arial"/>
          <w:color w:val="000000"/>
          <w:sz w:val="24"/>
          <w:szCs w:val="24"/>
        </w:rPr>
        <w:t>or the uncertainty around the functional estimate).</w:t>
      </w:r>
    </w:p>
    <w:p w14:paraId="4B6EC96F" w14:textId="77777777" w:rsidR="007B26A4" w:rsidRPr="00CD2F5C" w:rsidRDefault="007B26A4" w:rsidP="002B0F75">
      <w:pPr>
        <w:suppressAutoHyphens/>
        <w:overflowPunct w:val="0"/>
        <w:spacing w:after="247" w:line="360" w:lineRule="auto"/>
        <w:ind w:left="-5" w:hanging="10"/>
        <w:rPr>
          <w:rFonts w:ascii="Cambria" w:eastAsia="Calibri" w:hAnsi="Cambria" w:cs="Arial"/>
          <w:color w:val="000000"/>
          <w:sz w:val="24"/>
          <w:szCs w:val="24"/>
        </w:rPr>
      </w:pPr>
      <w:r w:rsidRPr="00CD2F5C">
        <w:rPr>
          <w:rFonts w:ascii="Cambria" w:eastAsia="Calibri" w:hAnsi="Cambria" w:cs="Arial"/>
          <w:noProof/>
          <w:color w:val="000000"/>
          <w:sz w:val="24"/>
          <w:szCs w:val="24"/>
        </w:rPr>
        <w:drawing>
          <wp:inline distT="0" distB="0" distL="0" distR="0" wp14:anchorId="5E57DE40" wp14:editId="6BF63163">
            <wp:extent cx="5943600" cy="3106420"/>
            <wp:effectExtent l="0" t="0" r="0" b="0"/>
            <wp:docPr id="1330206156" name="Picture 133020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10377" name=""/>
                    <pic:cNvPicPr/>
                  </pic:nvPicPr>
                  <pic:blipFill>
                    <a:blip r:embed="rId149"/>
                    <a:stretch>
                      <a:fillRect/>
                    </a:stretch>
                  </pic:blipFill>
                  <pic:spPr>
                    <a:xfrm>
                      <a:off x="0" y="0"/>
                      <a:ext cx="5943600" cy="3106420"/>
                    </a:xfrm>
                    <a:prstGeom prst="rect">
                      <a:avLst/>
                    </a:prstGeom>
                  </pic:spPr>
                </pic:pic>
              </a:graphicData>
            </a:graphic>
          </wp:inline>
        </w:drawing>
      </w:r>
    </w:p>
    <w:p w14:paraId="743294CB" w14:textId="77777777" w:rsidR="007B26A4" w:rsidRPr="00CD2F5C" w:rsidRDefault="007B26A4" w:rsidP="002B0F75">
      <w:pPr>
        <w:suppressAutoHyphens/>
        <w:overflowPunct w:val="0"/>
        <w:spacing w:after="247" w:line="360" w:lineRule="auto"/>
        <w:ind w:left="-5" w:hanging="10"/>
        <w:rPr>
          <w:rFonts w:ascii="Cambria" w:eastAsia="Calibri" w:hAnsi="Cambria" w:cs="Arial"/>
          <w:b/>
          <w:bCs/>
          <w:color w:val="000000"/>
          <w:sz w:val="24"/>
          <w:szCs w:val="24"/>
        </w:rPr>
      </w:pPr>
      <w:r w:rsidRPr="00CD2F5C">
        <w:rPr>
          <w:rFonts w:ascii="Cambria" w:eastAsia="Calibri" w:hAnsi="Cambria" w:cs="Arial"/>
          <w:b/>
          <w:bCs/>
          <w:color w:val="000000"/>
          <w:sz w:val="24"/>
          <w:szCs w:val="24"/>
        </w:rPr>
        <w:lastRenderedPageBreak/>
        <w:t xml:space="preserve">Figure S5. </w:t>
      </w:r>
      <w:r w:rsidRPr="00CD2F5C">
        <w:rPr>
          <w:rFonts w:ascii="Cambria" w:eastAsia="Calibri" w:hAnsi="Cambria" w:cs="Arial"/>
          <w:color w:val="000000"/>
          <w:sz w:val="24"/>
          <w:szCs w:val="24"/>
        </w:rPr>
        <w:t>A) Partial regression plot on the association between sexual abuse frequency x chronic pain, B) Association between being taken to the doctor when needed as a child x chronic pain, C) Association between physical abuse in childhood and chronic pain in adulthood, D) Association between reports of feeling hated during childhood x chronic pain in adulthood, E) Influence of trouble relaxing on reported chronic pain, F) Association between experiencing muscular symptoms during anxiety episodes and chronic pain</w:t>
      </w:r>
    </w:p>
    <w:p w14:paraId="5383180C" w14:textId="77777777" w:rsidR="007B26A4" w:rsidRPr="00CD2F5C" w:rsidRDefault="007B26A4" w:rsidP="002B0F75">
      <w:pPr>
        <w:suppressAutoHyphens/>
        <w:overflowPunct w:val="0"/>
        <w:spacing w:after="0" w:line="360" w:lineRule="auto"/>
        <w:rPr>
          <w:rFonts w:ascii="Cambria" w:eastAsia="Calibri" w:hAnsi="Cambria" w:cs="Calibri"/>
          <w:b/>
          <w:bCs/>
          <w:color w:val="000000"/>
          <w:sz w:val="24"/>
          <w:szCs w:val="24"/>
        </w:rPr>
      </w:pPr>
    </w:p>
    <w:p w14:paraId="673E5834" w14:textId="77777777" w:rsidR="007B26A4" w:rsidRPr="00CD2F5C" w:rsidRDefault="007B26A4" w:rsidP="002B0F75">
      <w:pPr>
        <w:suppressAutoHyphens/>
        <w:overflowPunct w:val="0"/>
        <w:spacing w:after="247" w:line="360" w:lineRule="auto"/>
        <w:rPr>
          <w:rFonts w:ascii="Cambria" w:eastAsia="Calibri" w:hAnsi="Cambria" w:cs="Calibri"/>
          <w:b/>
          <w:bCs/>
          <w:color w:val="000000"/>
          <w:sz w:val="24"/>
          <w:szCs w:val="24"/>
        </w:rPr>
      </w:pPr>
    </w:p>
    <w:p w14:paraId="5DCAA68B" w14:textId="77777777" w:rsidR="007B26A4" w:rsidRPr="00CD2F5C" w:rsidRDefault="007B26A4" w:rsidP="002B0F75">
      <w:pPr>
        <w:suppressAutoHyphens/>
        <w:overflowPunct w:val="0"/>
        <w:spacing w:after="247" w:line="360" w:lineRule="auto"/>
        <w:rPr>
          <w:rFonts w:ascii="Cambria" w:eastAsia="Calibri" w:hAnsi="Cambria" w:cs="Calibri"/>
          <w:b/>
          <w:bCs/>
          <w:color w:val="000000"/>
          <w:sz w:val="24"/>
          <w:szCs w:val="24"/>
        </w:rPr>
      </w:pPr>
    </w:p>
    <w:p w14:paraId="426412AA" w14:textId="77777777" w:rsidR="007B26A4" w:rsidRDefault="007B26A4" w:rsidP="002B0F75">
      <w:pPr>
        <w:spacing w:line="360" w:lineRule="auto"/>
      </w:pPr>
      <w:r>
        <w:br w:type="page"/>
      </w:r>
    </w:p>
    <w:p w14:paraId="142CDA61" w14:textId="77777777" w:rsidR="007B26A4" w:rsidRPr="00CD2F5C" w:rsidRDefault="007B26A4" w:rsidP="002B0F75">
      <w:pPr>
        <w:suppressAutoHyphens/>
        <w:overflowPunct w:val="0"/>
        <w:spacing w:after="247" w:line="360" w:lineRule="auto"/>
        <w:rPr>
          <w:rFonts w:ascii="Cambria" w:eastAsia="Calibri" w:hAnsi="Cambria" w:cs="Calibri"/>
          <w:b/>
          <w:bCs/>
          <w:color w:val="000000"/>
          <w:sz w:val="24"/>
          <w:szCs w:val="24"/>
        </w:rPr>
      </w:pPr>
      <w:r w:rsidRPr="00CD2F5C">
        <w:rPr>
          <w:rFonts w:ascii="Cambria" w:eastAsia="Calibri" w:hAnsi="Cambria" w:cs="Calibri"/>
          <w:b/>
          <w:bCs/>
          <w:color w:val="000000"/>
          <w:sz w:val="24"/>
          <w:szCs w:val="24"/>
        </w:rPr>
        <w:lastRenderedPageBreak/>
        <w:t xml:space="preserve">Appendix C. Socio-demographic and health behaviour adjusted analysis </w:t>
      </w:r>
    </w:p>
    <w:p w14:paraId="17C26DD1" w14:textId="77777777" w:rsidR="007B26A4" w:rsidRPr="00CD2F5C" w:rsidRDefault="007B26A4" w:rsidP="002B0F75">
      <w:pPr>
        <w:suppressAutoHyphens/>
        <w:overflowPunct w:val="0"/>
        <w:spacing w:after="247" w:line="360" w:lineRule="auto"/>
        <w:rPr>
          <w:rFonts w:ascii="Cambria" w:hAnsi="Cambria"/>
          <w:i/>
          <w:iCs/>
          <w:sz w:val="24"/>
          <w:szCs w:val="24"/>
        </w:rPr>
      </w:pPr>
      <w:r w:rsidRPr="00CD2F5C">
        <w:rPr>
          <w:rFonts w:ascii="Cambria" w:eastAsia="Calibri" w:hAnsi="Cambria" w:cs="Calibri"/>
          <w:i/>
          <w:iCs/>
          <w:color w:val="000000"/>
          <w:sz w:val="24"/>
          <w:szCs w:val="24"/>
        </w:rPr>
        <w:t>Expanded methods</w:t>
      </w:r>
    </w:p>
    <w:p w14:paraId="18FBB5B5" w14:textId="77777777" w:rsidR="007B26A4" w:rsidRPr="00CD2F5C" w:rsidRDefault="007B26A4" w:rsidP="002B0F75">
      <w:pPr>
        <w:suppressAutoHyphens/>
        <w:overflowPunct w:val="0"/>
        <w:spacing w:after="247"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 xml:space="preserve">Four socioeconomic variables which had sufficient coverage were available in the dataset: sex (male/female), ever smoked (yes/no), alcohol use status (current, past, never), and age at recruitment (range 40-70 years). These were merged by participant ID to the CRP sample dataset of 2,007 records. Five records with missing ever smoked status were dropped for a total of 2002 records in the modelling dataset. These variables were selected based on a high level of participant responses (~500,000 of the original cases responded on these variables, versus under ~3000 by adding ethnicity filters). Variables such as employment status and ethnicity reduced the case number to a sample too small to warrant analysis, and thus were excluded from this analysis. </w:t>
      </w:r>
    </w:p>
    <w:p w14:paraId="0B769EDF" w14:textId="77777777" w:rsidR="007B26A4" w:rsidRPr="00CD2F5C" w:rsidRDefault="007B26A4" w:rsidP="002B0F75">
      <w:pPr>
        <w:suppressAutoHyphens/>
        <w:overflowPunct w:val="0"/>
        <w:spacing w:after="247"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 xml:space="preserve">A simplified version of the final model was created and compared against a corresponding stratified version with the available socioeconomic variables to identify how socioeconomic factors may affect the results. The simplified model was created by dropping non-significant interactions and variables. The stratified version was fit with a generalized linear mixed-effects model in R, with a Poisson distribution family. For the generalized linear mixed-effects model, sex, ever smoked, and alcohol use were included as fixed effects controls as per standard model building practice (estimated variance on random effects with few levels is imprecise). Age at recruitment was included as a random effect with random intercept (the model intercept was allowed to vary by age at recruitment). In addition, random slopes were included for those dependent variables where an ANOVA indicated the random slope was significant vs the model without. </w:t>
      </w:r>
    </w:p>
    <w:p w14:paraId="60B99ABD" w14:textId="77777777" w:rsidR="007B26A4" w:rsidRPr="00CD2F5C" w:rsidRDefault="007B26A4" w:rsidP="002B0F75">
      <w:pPr>
        <w:suppressAutoHyphens/>
        <w:overflowPunct w:val="0"/>
        <w:spacing w:after="247" w:line="360" w:lineRule="auto"/>
        <w:rPr>
          <w:rFonts w:ascii="Cambria" w:hAnsi="Cambria"/>
          <w:kern w:val="2"/>
          <w:sz w:val="24"/>
          <w:szCs w:val="24"/>
        </w:rPr>
      </w:pPr>
      <w:r w:rsidRPr="00CD2F5C">
        <w:rPr>
          <w:rFonts w:ascii="Cambria" w:eastAsia="Calibri" w:hAnsi="Cambria" w:cs="Calibri"/>
          <w:i/>
          <w:iCs/>
          <w:color w:val="000000"/>
          <w:sz w:val="24"/>
          <w:szCs w:val="24"/>
        </w:rPr>
        <w:t>Results recap (</w:t>
      </w:r>
      <w:r w:rsidRPr="00CD2F5C">
        <w:rPr>
          <w:rFonts w:ascii="Cambria" w:eastAsia="Calibri" w:hAnsi="Cambria" w:cs="Calibri"/>
          <w:b/>
          <w:bCs/>
          <w:i/>
          <w:iCs/>
          <w:color w:val="000000"/>
          <w:sz w:val="24"/>
          <w:szCs w:val="24"/>
        </w:rPr>
        <w:t>Table S4</w:t>
      </w:r>
      <w:r w:rsidRPr="00CD2F5C">
        <w:rPr>
          <w:rFonts w:ascii="Cambria" w:eastAsia="Calibri" w:hAnsi="Cambria" w:cs="Calibri"/>
          <w:i/>
          <w:iCs/>
          <w:color w:val="000000"/>
          <w:sz w:val="24"/>
          <w:szCs w:val="24"/>
        </w:rPr>
        <w:t>)</w:t>
      </w:r>
      <w:r w:rsidRPr="00CD2F5C">
        <w:rPr>
          <w:rFonts w:ascii="Cambria" w:hAnsi="Cambria"/>
          <w:kern w:val="2"/>
          <w:sz w:val="24"/>
          <w:szCs w:val="24"/>
        </w:rPr>
        <w:t xml:space="preserve"> </w:t>
      </w:r>
    </w:p>
    <w:p w14:paraId="4B723AAC" w14:textId="77777777" w:rsidR="007B26A4" w:rsidRPr="00CD2F5C" w:rsidRDefault="007B26A4" w:rsidP="002B0F75">
      <w:pPr>
        <w:suppressAutoHyphens/>
        <w:overflowPunct w:val="0"/>
        <w:spacing w:after="247" w:line="360" w:lineRule="auto"/>
        <w:rPr>
          <w:rFonts w:ascii="Cambria" w:eastAsia="Calibri" w:hAnsi="Cambria" w:cs="Calibri"/>
          <w:color w:val="000000"/>
          <w:sz w:val="24"/>
          <w:szCs w:val="24"/>
        </w:rPr>
      </w:pPr>
      <w:r w:rsidRPr="00CD2F5C">
        <w:rPr>
          <w:rFonts w:ascii="Cambria" w:eastAsia="Calibri" w:hAnsi="Cambria" w:cs="Calibri"/>
          <w:color w:val="000000"/>
          <w:sz w:val="24"/>
          <w:szCs w:val="24"/>
        </w:rPr>
        <w:t>The generalized linear mixed-effects model results and corresponding simplified final model were built and compared to identify if the available data on socioeconomic factors affected the model results.</w:t>
      </w:r>
    </w:p>
    <w:p w14:paraId="7841B58B" w14:textId="77777777" w:rsidR="007B26A4" w:rsidRPr="00CD2F5C" w:rsidRDefault="007B26A4" w:rsidP="002B0F75">
      <w:pPr>
        <w:numPr>
          <w:ilvl w:val="0"/>
          <w:numId w:val="36"/>
        </w:numPr>
        <w:suppressAutoHyphens/>
        <w:overflowPunct w:val="0"/>
        <w:spacing w:after="247" w:line="360" w:lineRule="auto"/>
        <w:contextualSpacing/>
        <w:rPr>
          <w:rFonts w:ascii="Cambria" w:hAnsi="Cambria"/>
          <w:kern w:val="2"/>
          <w:sz w:val="24"/>
          <w:szCs w:val="24"/>
        </w:rPr>
      </w:pPr>
      <w:r w:rsidRPr="00CD2F5C">
        <w:rPr>
          <w:rFonts w:ascii="Cambria" w:hAnsi="Cambria"/>
          <w:kern w:val="2"/>
          <w:sz w:val="24"/>
          <w:szCs w:val="24"/>
        </w:rPr>
        <w:lastRenderedPageBreak/>
        <w:t xml:space="preserve">The mixed effects model improves the model fit (AIC 8275 mixed effects vs AIC 8320 GLM) </w:t>
      </w:r>
    </w:p>
    <w:p w14:paraId="0BDE8644" w14:textId="77777777" w:rsidR="007B26A4" w:rsidRPr="00CD2F5C" w:rsidRDefault="007B26A4" w:rsidP="002B0F75">
      <w:pPr>
        <w:numPr>
          <w:ilvl w:val="0"/>
          <w:numId w:val="36"/>
        </w:numPr>
        <w:suppressAutoHyphens/>
        <w:overflowPunct w:val="0"/>
        <w:spacing w:after="247" w:line="360" w:lineRule="auto"/>
        <w:contextualSpacing/>
        <w:rPr>
          <w:rFonts w:ascii="Cambria" w:hAnsi="Cambria"/>
          <w:kern w:val="2"/>
          <w:sz w:val="24"/>
          <w:szCs w:val="24"/>
        </w:rPr>
      </w:pPr>
      <w:r w:rsidRPr="00CD2F5C">
        <w:rPr>
          <w:rFonts w:ascii="Cambria" w:hAnsi="Cambria"/>
          <w:kern w:val="2"/>
          <w:sz w:val="24"/>
          <w:szCs w:val="24"/>
        </w:rPr>
        <w:t xml:space="preserve">The mixed effects control variables </w:t>
      </w:r>
      <w:proofErr w:type="spellStart"/>
      <w:r w:rsidRPr="00CD2F5C">
        <w:rPr>
          <w:rFonts w:ascii="Cambria" w:hAnsi="Cambria"/>
          <w:kern w:val="2"/>
          <w:sz w:val="24"/>
          <w:szCs w:val="24"/>
        </w:rPr>
        <w:t>ever_smoked</w:t>
      </w:r>
      <w:proofErr w:type="spellEnd"/>
      <w:r w:rsidRPr="00CD2F5C">
        <w:rPr>
          <w:rFonts w:ascii="Cambria" w:hAnsi="Cambria"/>
          <w:kern w:val="2"/>
          <w:sz w:val="24"/>
          <w:szCs w:val="24"/>
        </w:rPr>
        <w:t xml:space="preserve">, sex, and alcohol drinker are not significant </w:t>
      </w:r>
    </w:p>
    <w:p w14:paraId="72D1A06A" w14:textId="77777777" w:rsidR="007B26A4" w:rsidRPr="00CD2F5C" w:rsidRDefault="007B26A4" w:rsidP="002B0F75">
      <w:pPr>
        <w:numPr>
          <w:ilvl w:val="0"/>
          <w:numId w:val="36"/>
        </w:numPr>
        <w:suppressAutoHyphens/>
        <w:overflowPunct w:val="0"/>
        <w:spacing w:after="247" w:line="360" w:lineRule="auto"/>
        <w:contextualSpacing/>
        <w:rPr>
          <w:rFonts w:ascii="Cambria" w:hAnsi="Cambria"/>
          <w:kern w:val="2"/>
          <w:sz w:val="24"/>
          <w:szCs w:val="24"/>
        </w:rPr>
      </w:pPr>
      <w:r w:rsidRPr="00CD2F5C">
        <w:rPr>
          <w:rFonts w:ascii="Cambria" w:hAnsi="Cambria"/>
          <w:kern w:val="2"/>
          <w:sz w:val="24"/>
          <w:szCs w:val="24"/>
        </w:rPr>
        <w:t xml:space="preserve"> All variables which are significant in the simplified final model GLM are still significant in the mixed-effects model </w:t>
      </w:r>
    </w:p>
    <w:p w14:paraId="6F03E7CF" w14:textId="77777777" w:rsidR="007B26A4" w:rsidRPr="00CD2F5C" w:rsidRDefault="007B26A4" w:rsidP="002B0F75">
      <w:pPr>
        <w:numPr>
          <w:ilvl w:val="0"/>
          <w:numId w:val="36"/>
        </w:numPr>
        <w:suppressAutoHyphens/>
        <w:overflowPunct w:val="0"/>
        <w:spacing w:after="247" w:line="360" w:lineRule="auto"/>
        <w:contextualSpacing/>
        <w:rPr>
          <w:rFonts w:ascii="Cambria" w:hAnsi="Cambria"/>
          <w:kern w:val="2"/>
          <w:sz w:val="24"/>
          <w:szCs w:val="24"/>
        </w:rPr>
      </w:pPr>
      <w:r w:rsidRPr="00CD2F5C">
        <w:rPr>
          <w:rFonts w:ascii="Cambria" w:hAnsi="Cambria"/>
          <w:kern w:val="2"/>
          <w:sz w:val="24"/>
          <w:szCs w:val="24"/>
        </w:rPr>
        <w:t xml:space="preserve">Coefficient estimates are generally smaller and standard errors larger in the mixed-effects model (e.g. 0.21 vs 0.20 muscle symptoms anxiety, 0.10 vs 0.09 trouble relaxing, etc.), however this is only a very slight difference </w:t>
      </w:r>
    </w:p>
    <w:p w14:paraId="03E0E039" w14:textId="77777777" w:rsidR="007B26A4" w:rsidRPr="00CD2F5C" w:rsidRDefault="007B26A4" w:rsidP="002B0F75">
      <w:pPr>
        <w:numPr>
          <w:ilvl w:val="1"/>
          <w:numId w:val="36"/>
        </w:numPr>
        <w:suppressAutoHyphens/>
        <w:overflowPunct w:val="0"/>
        <w:spacing w:after="247" w:line="360" w:lineRule="auto"/>
        <w:contextualSpacing/>
        <w:rPr>
          <w:rFonts w:ascii="Cambria" w:hAnsi="Cambria"/>
          <w:kern w:val="2"/>
          <w:sz w:val="24"/>
          <w:szCs w:val="24"/>
        </w:rPr>
      </w:pPr>
      <w:r w:rsidRPr="00CD2F5C">
        <w:rPr>
          <w:rFonts w:ascii="Cambria" w:hAnsi="Cambria"/>
          <w:kern w:val="2"/>
          <w:sz w:val="24"/>
          <w:szCs w:val="24"/>
        </w:rPr>
        <w:t xml:space="preserve">This suggests conclusions are robust to the available socioeconomic data </w:t>
      </w:r>
    </w:p>
    <w:p w14:paraId="65068D19" w14:textId="77777777" w:rsidR="007B26A4" w:rsidRPr="00CD2F5C" w:rsidRDefault="007B26A4" w:rsidP="002B0F75">
      <w:pPr>
        <w:suppressAutoHyphens/>
        <w:overflowPunct w:val="0"/>
        <w:spacing w:after="247" w:line="360" w:lineRule="auto"/>
        <w:contextualSpacing/>
        <w:rPr>
          <w:rFonts w:ascii="Cambria" w:hAnsi="Cambria"/>
          <w:kern w:val="2"/>
          <w:sz w:val="24"/>
          <w:szCs w:val="24"/>
        </w:rPr>
      </w:pPr>
    </w:p>
    <w:p w14:paraId="475FE03B" w14:textId="77777777" w:rsidR="007B26A4" w:rsidRPr="00CD2F5C" w:rsidRDefault="007B26A4" w:rsidP="002B0F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360" w:lineRule="auto"/>
        <w:rPr>
          <w:rFonts w:ascii="Cambria" w:eastAsia="Times New Roman" w:hAnsi="Cambria" w:cs="Arial"/>
          <w:b/>
          <w:bCs/>
          <w:color w:val="000000"/>
          <w:sz w:val="24"/>
          <w:szCs w:val="24"/>
          <w:bdr w:val="none" w:sz="0" w:space="0" w:color="auto" w:frame="1"/>
          <w:lang w:eastAsia="en-GB"/>
        </w:rPr>
      </w:pPr>
      <w:r w:rsidRPr="00CD2F5C">
        <w:rPr>
          <w:rFonts w:ascii="Cambria" w:eastAsia="Times New Roman" w:hAnsi="Cambria" w:cs="Arial"/>
          <w:b/>
          <w:bCs/>
          <w:color w:val="000000"/>
          <w:sz w:val="24"/>
          <w:szCs w:val="24"/>
          <w:bdr w:val="none" w:sz="0" w:space="0" w:color="auto" w:frame="1"/>
          <w:lang w:eastAsia="en-GB"/>
        </w:rPr>
        <w:t>Table S4. Socio-demographic and health behaviour adjusted analysis results</w:t>
      </w:r>
    </w:p>
    <w:tbl>
      <w:tblPr>
        <w:tblW w:w="10350" w:type="dxa"/>
        <w:jc w:val="center"/>
        <w:tblLayout w:type="fixed"/>
        <w:tblCellMar>
          <w:top w:w="55" w:type="dxa"/>
          <w:left w:w="55" w:type="dxa"/>
          <w:bottom w:w="55" w:type="dxa"/>
          <w:right w:w="55" w:type="dxa"/>
        </w:tblCellMar>
        <w:tblLook w:val="04A0" w:firstRow="1" w:lastRow="0" w:firstColumn="1" w:lastColumn="0" w:noHBand="0" w:noVBand="1"/>
      </w:tblPr>
      <w:tblGrid>
        <w:gridCol w:w="2340"/>
        <w:gridCol w:w="720"/>
        <w:gridCol w:w="810"/>
        <w:gridCol w:w="630"/>
        <w:gridCol w:w="810"/>
        <w:gridCol w:w="720"/>
        <w:gridCol w:w="900"/>
        <w:gridCol w:w="720"/>
        <w:gridCol w:w="720"/>
        <w:gridCol w:w="601"/>
        <w:gridCol w:w="209"/>
        <w:gridCol w:w="1170"/>
      </w:tblGrid>
      <w:tr w:rsidR="007B26A4" w:rsidRPr="00CD2F5C" w14:paraId="388553D9" w14:textId="77777777" w:rsidTr="00BF4B86">
        <w:trPr>
          <w:trHeight w:val="124"/>
          <w:jc w:val="center"/>
        </w:trPr>
        <w:tc>
          <w:tcPr>
            <w:tcW w:w="2340" w:type="dxa"/>
            <w:tcBorders>
              <w:top w:val="single" w:sz="4" w:space="0" w:color="auto"/>
              <w:left w:val="nil"/>
              <w:right w:val="nil"/>
            </w:tcBorders>
            <w:shd w:val="clear" w:color="auto" w:fill="E7E6E6" w:themeFill="background2"/>
            <w:vAlign w:val="center"/>
          </w:tcPr>
          <w:p w14:paraId="442A23B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
        </w:tc>
        <w:tc>
          <w:tcPr>
            <w:tcW w:w="2970" w:type="dxa"/>
            <w:gridSpan w:val="4"/>
            <w:tcBorders>
              <w:top w:val="single" w:sz="4" w:space="0" w:color="auto"/>
              <w:left w:val="nil"/>
              <w:right w:val="double" w:sz="4" w:space="0" w:color="auto"/>
            </w:tcBorders>
            <w:shd w:val="clear" w:color="auto" w:fill="E7E6E6" w:themeFill="background2"/>
            <w:vAlign w:val="center"/>
          </w:tcPr>
          <w:p w14:paraId="1FA89C4A" w14:textId="77777777" w:rsidR="007B26A4" w:rsidRPr="00CD2F5C" w:rsidRDefault="007B26A4" w:rsidP="002B0F75">
            <w:pPr>
              <w:suppressAutoHyphens/>
              <w:overflowPunct w:val="0"/>
              <w:spacing w:after="0" w:line="360" w:lineRule="auto"/>
              <w:ind w:left="-5" w:hanging="10"/>
              <w:contextualSpacing/>
              <w:jc w:val="center"/>
              <w:rPr>
                <w:rFonts w:ascii="Cambria" w:eastAsia="Calibri" w:hAnsi="Cambria" w:cstheme="minorHAnsi"/>
                <w:b/>
                <w:bCs/>
                <w:i/>
                <w:iCs/>
                <w:sz w:val="24"/>
                <w:szCs w:val="24"/>
              </w:rPr>
            </w:pPr>
            <w:r w:rsidRPr="00CD2F5C">
              <w:rPr>
                <w:rFonts w:ascii="Cambria" w:eastAsia="Calibri" w:hAnsi="Cambria" w:cstheme="minorHAnsi"/>
                <w:b/>
                <w:bCs/>
                <w:i/>
                <w:iCs/>
                <w:sz w:val="24"/>
                <w:szCs w:val="24"/>
              </w:rPr>
              <w:t>Simplified Final Model</w:t>
            </w:r>
          </w:p>
        </w:tc>
        <w:tc>
          <w:tcPr>
            <w:tcW w:w="5040" w:type="dxa"/>
            <w:gridSpan w:val="7"/>
            <w:tcBorders>
              <w:top w:val="single" w:sz="4" w:space="0" w:color="auto"/>
              <w:left w:val="double" w:sz="4" w:space="0" w:color="auto"/>
              <w:right w:val="nil"/>
            </w:tcBorders>
            <w:shd w:val="clear" w:color="auto" w:fill="E7E6E6" w:themeFill="background2"/>
            <w:vAlign w:val="center"/>
          </w:tcPr>
          <w:p w14:paraId="22808BF1" w14:textId="77777777" w:rsidR="007B26A4" w:rsidRPr="00CD2F5C" w:rsidRDefault="007B26A4" w:rsidP="002B0F75">
            <w:pPr>
              <w:suppressAutoHyphens/>
              <w:overflowPunct w:val="0"/>
              <w:spacing w:after="0" w:line="360" w:lineRule="auto"/>
              <w:ind w:left="-5" w:hanging="10"/>
              <w:contextualSpacing/>
              <w:jc w:val="center"/>
              <w:rPr>
                <w:rFonts w:ascii="Cambria" w:eastAsia="Calibri" w:hAnsi="Cambria" w:cstheme="minorHAnsi"/>
                <w:b/>
                <w:bCs/>
                <w:i/>
                <w:iCs/>
                <w:sz w:val="24"/>
                <w:szCs w:val="24"/>
              </w:rPr>
            </w:pPr>
            <w:r w:rsidRPr="00CD2F5C">
              <w:rPr>
                <w:rFonts w:ascii="Cambria" w:eastAsia="Calibri" w:hAnsi="Cambria" w:cstheme="minorHAnsi"/>
                <w:b/>
                <w:bCs/>
                <w:i/>
                <w:iCs/>
                <w:sz w:val="24"/>
                <w:szCs w:val="24"/>
              </w:rPr>
              <w:t>Mixed-Effects Model</w:t>
            </w:r>
          </w:p>
        </w:tc>
      </w:tr>
      <w:tr w:rsidR="007B26A4" w:rsidRPr="00CD2F5C" w14:paraId="2FB06396" w14:textId="77777777" w:rsidTr="00BF4B86">
        <w:trPr>
          <w:trHeight w:val="332"/>
          <w:jc w:val="center"/>
        </w:trPr>
        <w:tc>
          <w:tcPr>
            <w:tcW w:w="2340" w:type="dxa"/>
            <w:tcBorders>
              <w:left w:val="nil"/>
              <w:right w:val="nil"/>
            </w:tcBorders>
            <w:shd w:val="clear" w:color="auto" w:fill="E7E6E6" w:themeFill="background2"/>
            <w:vAlign w:val="center"/>
          </w:tcPr>
          <w:p w14:paraId="6DEE879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
        </w:tc>
        <w:tc>
          <w:tcPr>
            <w:tcW w:w="2970" w:type="dxa"/>
            <w:gridSpan w:val="4"/>
            <w:tcBorders>
              <w:left w:val="nil"/>
              <w:right w:val="double" w:sz="4" w:space="0" w:color="auto"/>
            </w:tcBorders>
            <w:shd w:val="clear" w:color="auto" w:fill="E7E6E6" w:themeFill="background2"/>
            <w:vAlign w:val="center"/>
          </w:tcPr>
          <w:p w14:paraId="72D5A5CA" w14:textId="77777777" w:rsidR="007B26A4" w:rsidRPr="00CD2F5C" w:rsidRDefault="007B26A4" w:rsidP="002B0F75">
            <w:pPr>
              <w:suppressAutoHyphens/>
              <w:overflowPunct w:val="0"/>
              <w:spacing w:after="0" w:line="360" w:lineRule="auto"/>
              <w:ind w:left="-5" w:hanging="10"/>
              <w:contextualSpacing/>
              <w:jc w:val="center"/>
              <w:rPr>
                <w:rFonts w:ascii="Cambria" w:eastAsia="Calibri" w:hAnsi="Cambria" w:cstheme="minorHAnsi"/>
                <w:b/>
                <w:bCs/>
                <w:i/>
                <w:iCs/>
                <w:sz w:val="24"/>
                <w:szCs w:val="24"/>
              </w:rPr>
            </w:pPr>
          </w:p>
        </w:tc>
        <w:tc>
          <w:tcPr>
            <w:tcW w:w="3661" w:type="dxa"/>
            <w:gridSpan w:val="5"/>
            <w:tcBorders>
              <w:left w:val="double" w:sz="4" w:space="0" w:color="auto"/>
              <w:right w:val="nil"/>
            </w:tcBorders>
            <w:shd w:val="clear" w:color="auto" w:fill="E7E6E6" w:themeFill="background2"/>
            <w:vAlign w:val="center"/>
          </w:tcPr>
          <w:p w14:paraId="09463E15" w14:textId="77777777" w:rsidR="007B26A4" w:rsidRPr="00CD2F5C" w:rsidRDefault="007B26A4" w:rsidP="002B0F75">
            <w:pPr>
              <w:suppressAutoHyphens/>
              <w:overflowPunct w:val="0"/>
              <w:spacing w:after="0" w:line="360" w:lineRule="auto"/>
              <w:ind w:left="-5" w:hanging="10"/>
              <w:contextualSpacing/>
              <w:jc w:val="center"/>
              <w:rPr>
                <w:rFonts w:ascii="Cambria" w:eastAsia="Calibri" w:hAnsi="Cambria" w:cstheme="minorHAnsi"/>
                <w:b/>
                <w:bCs/>
                <w:i/>
                <w:iCs/>
                <w:sz w:val="24"/>
                <w:szCs w:val="24"/>
              </w:rPr>
            </w:pPr>
            <w:r w:rsidRPr="00CD2F5C">
              <w:rPr>
                <w:rFonts w:ascii="Cambria" w:eastAsia="Calibri" w:hAnsi="Cambria" w:cstheme="minorHAnsi"/>
                <w:b/>
                <w:bCs/>
                <w:i/>
                <w:iCs/>
                <w:sz w:val="24"/>
                <w:szCs w:val="24"/>
              </w:rPr>
              <w:t>Fixed Effects</w:t>
            </w:r>
          </w:p>
        </w:tc>
        <w:tc>
          <w:tcPr>
            <w:tcW w:w="1379" w:type="dxa"/>
            <w:gridSpan w:val="2"/>
            <w:tcBorders>
              <w:left w:val="nil"/>
              <w:right w:val="nil"/>
            </w:tcBorders>
            <w:shd w:val="clear" w:color="auto" w:fill="E7E6E6" w:themeFill="background2"/>
            <w:vAlign w:val="center"/>
          </w:tcPr>
          <w:p w14:paraId="66C85D4E" w14:textId="77777777" w:rsidR="007B26A4" w:rsidRPr="00CD2F5C" w:rsidRDefault="007B26A4" w:rsidP="002B0F75">
            <w:pPr>
              <w:suppressAutoHyphens/>
              <w:overflowPunct w:val="0"/>
              <w:spacing w:after="0" w:line="360" w:lineRule="auto"/>
              <w:ind w:left="-5" w:hanging="10"/>
              <w:contextualSpacing/>
              <w:jc w:val="center"/>
              <w:rPr>
                <w:rFonts w:ascii="Cambria" w:eastAsia="Calibri" w:hAnsi="Cambria" w:cstheme="minorHAnsi"/>
                <w:b/>
                <w:bCs/>
                <w:i/>
                <w:iCs/>
                <w:sz w:val="24"/>
                <w:szCs w:val="24"/>
              </w:rPr>
            </w:pPr>
            <w:r w:rsidRPr="00CD2F5C">
              <w:rPr>
                <w:rFonts w:ascii="Cambria" w:eastAsia="Calibri" w:hAnsi="Cambria" w:cstheme="minorHAnsi"/>
                <w:b/>
                <w:bCs/>
                <w:i/>
                <w:iCs/>
                <w:sz w:val="24"/>
                <w:szCs w:val="24"/>
              </w:rPr>
              <w:t>Random Effects (</w:t>
            </w:r>
            <w:proofErr w:type="spellStart"/>
            <w:r w:rsidRPr="00CD2F5C">
              <w:rPr>
                <w:rFonts w:ascii="Cambria" w:eastAsia="Calibri" w:hAnsi="Cambria" w:cstheme="minorHAnsi"/>
                <w:b/>
                <w:bCs/>
                <w:i/>
                <w:iCs/>
                <w:sz w:val="24"/>
                <w:szCs w:val="24"/>
              </w:rPr>
              <w:t>AgeAtRecruit</w:t>
            </w:r>
            <w:proofErr w:type="spellEnd"/>
            <w:r w:rsidRPr="00CD2F5C">
              <w:rPr>
                <w:rFonts w:ascii="Cambria" w:eastAsia="Calibri" w:hAnsi="Cambria" w:cstheme="minorHAnsi"/>
                <w:b/>
                <w:bCs/>
                <w:i/>
                <w:iCs/>
                <w:sz w:val="24"/>
                <w:szCs w:val="24"/>
              </w:rPr>
              <w:t>)</w:t>
            </w:r>
          </w:p>
        </w:tc>
      </w:tr>
      <w:tr w:rsidR="007B26A4" w:rsidRPr="00CD2F5C" w14:paraId="472ECF5C" w14:textId="77777777" w:rsidTr="00BF4B86">
        <w:trPr>
          <w:trHeight w:val="232"/>
          <w:jc w:val="center"/>
        </w:trPr>
        <w:tc>
          <w:tcPr>
            <w:tcW w:w="2340" w:type="dxa"/>
            <w:tcBorders>
              <w:top w:val="single" w:sz="4" w:space="0" w:color="auto"/>
              <w:left w:val="nil"/>
              <w:bottom w:val="single" w:sz="4" w:space="0" w:color="auto"/>
              <w:right w:val="nil"/>
            </w:tcBorders>
            <w:shd w:val="clear" w:color="auto" w:fill="F2F2F2" w:themeFill="background1" w:themeFillShade="F2"/>
            <w:vAlign w:val="center"/>
            <w:hideMark/>
          </w:tcPr>
          <w:p w14:paraId="1CE93AB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Variable</w:t>
            </w:r>
          </w:p>
        </w:tc>
        <w:tc>
          <w:tcPr>
            <w:tcW w:w="720" w:type="dxa"/>
            <w:tcBorders>
              <w:top w:val="single" w:sz="4" w:space="0" w:color="auto"/>
              <w:left w:val="nil"/>
              <w:bottom w:val="single" w:sz="4" w:space="0" w:color="auto"/>
              <w:right w:val="nil"/>
            </w:tcBorders>
            <w:shd w:val="clear" w:color="auto" w:fill="F2F2F2" w:themeFill="background1" w:themeFillShade="F2"/>
            <w:vAlign w:val="center"/>
            <w:hideMark/>
          </w:tcPr>
          <w:p w14:paraId="3A7DAA4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β</w:t>
            </w:r>
          </w:p>
        </w:tc>
        <w:tc>
          <w:tcPr>
            <w:tcW w:w="810" w:type="dxa"/>
            <w:tcBorders>
              <w:top w:val="single" w:sz="4" w:space="0" w:color="auto"/>
              <w:left w:val="nil"/>
              <w:bottom w:val="single" w:sz="4" w:space="0" w:color="auto"/>
              <w:right w:val="nil"/>
            </w:tcBorders>
            <w:shd w:val="clear" w:color="auto" w:fill="F2F2F2" w:themeFill="background1" w:themeFillShade="F2"/>
            <w:vAlign w:val="center"/>
            <w:hideMark/>
          </w:tcPr>
          <w:p w14:paraId="01F99FE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Std. Error</w:t>
            </w:r>
          </w:p>
        </w:tc>
        <w:tc>
          <w:tcPr>
            <w:tcW w:w="630" w:type="dxa"/>
            <w:tcBorders>
              <w:top w:val="single" w:sz="4" w:space="0" w:color="auto"/>
              <w:left w:val="nil"/>
              <w:bottom w:val="single" w:sz="4" w:space="0" w:color="auto"/>
              <w:right w:val="nil"/>
            </w:tcBorders>
            <w:shd w:val="clear" w:color="auto" w:fill="F2F2F2" w:themeFill="background1" w:themeFillShade="F2"/>
            <w:vAlign w:val="center"/>
            <w:hideMark/>
          </w:tcPr>
          <w:p w14:paraId="60778F3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z value</w:t>
            </w:r>
          </w:p>
        </w:tc>
        <w:tc>
          <w:tcPr>
            <w:tcW w:w="810" w:type="dxa"/>
            <w:tcBorders>
              <w:top w:val="single" w:sz="4" w:space="0" w:color="auto"/>
              <w:left w:val="nil"/>
              <w:bottom w:val="single" w:sz="4" w:space="0" w:color="auto"/>
              <w:right w:val="double" w:sz="4" w:space="0" w:color="auto"/>
            </w:tcBorders>
            <w:shd w:val="clear" w:color="auto" w:fill="F2F2F2" w:themeFill="background1" w:themeFillShade="F2"/>
            <w:vAlign w:val="center"/>
            <w:hideMark/>
          </w:tcPr>
          <w:p w14:paraId="65BF3E2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i/>
                <w:iCs/>
                <w:sz w:val="24"/>
                <w:szCs w:val="24"/>
              </w:rPr>
              <w:t>P</w:t>
            </w:r>
            <w:r w:rsidRPr="00CD2F5C">
              <w:rPr>
                <w:rFonts w:ascii="Cambria" w:eastAsia="Calibri" w:hAnsi="Cambria" w:cstheme="minorHAnsi"/>
                <w:b/>
                <w:bCs/>
                <w:sz w:val="24"/>
                <w:szCs w:val="24"/>
              </w:rPr>
              <w:t>-value</w:t>
            </w:r>
          </w:p>
        </w:tc>
        <w:tc>
          <w:tcPr>
            <w:tcW w:w="720" w:type="dxa"/>
            <w:tcBorders>
              <w:top w:val="single" w:sz="4" w:space="0" w:color="auto"/>
              <w:left w:val="double" w:sz="4" w:space="0" w:color="auto"/>
              <w:right w:val="nil"/>
            </w:tcBorders>
            <w:shd w:val="clear" w:color="auto" w:fill="F2F2F2" w:themeFill="background1" w:themeFillShade="F2"/>
            <w:vAlign w:val="center"/>
          </w:tcPr>
          <w:p w14:paraId="74C1307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i/>
                <w:iCs/>
                <w:sz w:val="24"/>
                <w:szCs w:val="24"/>
              </w:rPr>
            </w:pPr>
            <w:r w:rsidRPr="00CD2F5C">
              <w:rPr>
                <w:rFonts w:ascii="Cambria" w:eastAsia="Calibri" w:hAnsi="Cambria" w:cstheme="minorHAnsi"/>
                <w:b/>
                <w:bCs/>
                <w:sz w:val="24"/>
                <w:szCs w:val="24"/>
              </w:rPr>
              <w:t>β</w:t>
            </w:r>
          </w:p>
        </w:tc>
        <w:tc>
          <w:tcPr>
            <w:tcW w:w="900" w:type="dxa"/>
            <w:tcBorders>
              <w:top w:val="single" w:sz="4" w:space="0" w:color="auto"/>
              <w:left w:val="nil"/>
              <w:right w:val="nil"/>
            </w:tcBorders>
            <w:shd w:val="clear" w:color="auto" w:fill="F2F2F2" w:themeFill="background1" w:themeFillShade="F2"/>
            <w:vAlign w:val="center"/>
          </w:tcPr>
          <w:p w14:paraId="326D498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i/>
                <w:iCs/>
                <w:sz w:val="24"/>
                <w:szCs w:val="24"/>
              </w:rPr>
            </w:pPr>
            <w:r w:rsidRPr="00CD2F5C">
              <w:rPr>
                <w:rFonts w:ascii="Cambria" w:eastAsia="Calibri" w:hAnsi="Cambria" w:cstheme="minorHAnsi"/>
                <w:b/>
                <w:bCs/>
                <w:sz w:val="24"/>
                <w:szCs w:val="24"/>
              </w:rPr>
              <w:t>Std. Error</w:t>
            </w:r>
          </w:p>
        </w:tc>
        <w:tc>
          <w:tcPr>
            <w:tcW w:w="720" w:type="dxa"/>
            <w:tcBorders>
              <w:top w:val="single" w:sz="4" w:space="0" w:color="auto"/>
              <w:left w:val="nil"/>
              <w:right w:val="nil"/>
            </w:tcBorders>
            <w:shd w:val="clear" w:color="auto" w:fill="F2F2F2" w:themeFill="background1" w:themeFillShade="F2"/>
            <w:vAlign w:val="center"/>
          </w:tcPr>
          <w:p w14:paraId="25AB9E0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i/>
                <w:iCs/>
                <w:sz w:val="24"/>
                <w:szCs w:val="24"/>
              </w:rPr>
            </w:pPr>
            <w:r w:rsidRPr="00CD2F5C">
              <w:rPr>
                <w:rFonts w:ascii="Cambria" w:eastAsia="Calibri" w:hAnsi="Cambria" w:cstheme="minorHAnsi"/>
                <w:b/>
                <w:bCs/>
                <w:sz w:val="24"/>
                <w:szCs w:val="24"/>
              </w:rPr>
              <w:t>z value</w:t>
            </w:r>
          </w:p>
        </w:tc>
        <w:tc>
          <w:tcPr>
            <w:tcW w:w="720" w:type="dxa"/>
            <w:tcBorders>
              <w:top w:val="single" w:sz="4" w:space="0" w:color="auto"/>
              <w:left w:val="nil"/>
              <w:right w:val="nil"/>
            </w:tcBorders>
            <w:shd w:val="clear" w:color="auto" w:fill="F2F2F2" w:themeFill="background1" w:themeFillShade="F2"/>
            <w:vAlign w:val="center"/>
          </w:tcPr>
          <w:p w14:paraId="43DA83C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i/>
                <w:iCs/>
                <w:sz w:val="24"/>
                <w:szCs w:val="24"/>
              </w:rPr>
            </w:pPr>
            <w:r w:rsidRPr="00CD2F5C">
              <w:rPr>
                <w:rFonts w:ascii="Cambria" w:eastAsia="Calibri" w:hAnsi="Cambria" w:cstheme="minorHAnsi"/>
                <w:b/>
                <w:bCs/>
                <w:i/>
                <w:iCs/>
                <w:sz w:val="24"/>
                <w:szCs w:val="24"/>
              </w:rPr>
              <w:t>P</w:t>
            </w:r>
            <w:r w:rsidRPr="00CD2F5C">
              <w:rPr>
                <w:rFonts w:ascii="Cambria" w:eastAsia="Calibri" w:hAnsi="Cambria" w:cstheme="minorHAnsi"/>
                <w:b/>
                <w:bCs/>
                <w:sz w:val="24"/>
                <w:szCs w:val="24"/>
              </w:rPr>
              <w:t>-value</w:t>
            </w:r>
          </w:p>
        </w:tc>
        <w:tc>
          <w:tcPr>
            <w:tcW w:w="810" w:type="dxa"/>
            <w:gridSpan w:val="2"/>
            <w:tcBorders>
              <w:top w:val="single" w:sz="4" w:space="0" w:color="auto"/>
              <w:left w:val="nil"/>
              <w:right w:val="nil"/>
            </w:tcBorders>
            <w:shd w:val="clear" w:color="auto" w:fill="F2F2F2" w:themeFill="background1" w:themeFillShade="F2"/>
          </w:tcPr>
          <w:p w14:paraId="30FD5DB4" w14:textId="77777777" w:rsidR="007B26A4" w:rsidRPr="00CD2F5C" w:rsidRDefault="007B26A4" w:rsidP="002B0F75">
            <w:pPr>
              <w:suppressAutoHyphens/>
              <w:overflowPunct w:val="0"/>
              <w:spacing w:after="0" w:line="360" w:lineRule="auto"/>
              <w:contextualSpacing/>
              <w:rPr>
                <w:rFonts w:ascii="Cambria" w:eastAsia="Calibri" w:hAnsi="Cambria" w:cstheme="minorHAnsi"/>
                <w:b/>
                <w:bCs/>
                <w:i/>
                <w:iCs/>
                <w:sz w:val="24"/>
                <w:szCs w:val="24"/>
              </w:rPr>
            </w:pPr>
            <w:r w:rsidRPr="00CD2F5C">
              <w:rPr>
                <w:rFonts w:ascii="Cambria" w:eastAsia="Calibri" w:hAnsi="Cambria" w:cstheme="minorHAnsi"/>
                <w:b/>
                <w:bCs/>
                <w:i/>
                <w:iCs/>
                <w:sz w:val="24"/>
                <w:szCs w:val="24"/>
              </w:rPr>
              <w:t>Variance</w:t>
            </w:r>
          </w:p>
        </w:tc>
        <w:tc>
          <w:tcPr>
            <w:tcW w:w="1170" w:type="dxa"/>
            <w:tcBorders>
              <w:top w:val="single" w:sz="4" w:space="0" w:color="auto"/>
              <w:left w:val="nil"/>
              <w:right w:val="nil"/>
            </w:tcBorders>
            <w:shd w:val="clear" w:color="auto" w:fill="F2F2F2" w:themeFill="background1" w:themeFillShade="F2"/>
          </w:tcPr>
          <w:p w14:paraId="03008D0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i/>
                <w:iCs/>
                <w:sz w:val="24"/>
                <w:szCs w:val="24"/>
              </w:rPr>
            </w:pPr>
            <w:r w:rsidRPr="00CD2F5C">
              <w:rPr>
                <w:rFonts w:ascii="Cambria" w:eastAsia="Calibri" w:hAnsi="Cambria" w:cstheme="minorHAnsi"/>
                <w:b/>
                <w:bCs/>
                <w:i/>
                <w:iCs/>
                <w:sz w:val="24"/>
                <w:szCs w:val="24"/>
              </w:rPr>
              <w:t>Std. deviation</w:t>
            </w:r>
          </w:p>
        </w:tc>
      </w:tr>
      <w:tr w:rsidR="007B26A4" w:rsidRPr="00CD2F5C" w14:paraId="652EB69B" w14:textId="77777777" w:rsidTr="00BF4B86">
        <w:trPr>
          <w:trHeight w:val="223"/>
          <w:jc w:val="center"/>
        </w:trPr>
        <w:tc>
          <w:tcPr>
            <w:tcW w:w="2340" w:type="dxa"/>
            <w:tcBorders>
              <w:top w:val="single" w:sz="4" w:space="0" w:color="auto"/>
              <w:left w:val="nil"/>
              <w:bottom w:val="nil"/>
              <w:right w:val="nil"/>
            </w:tcBorders>
            <w:shd w:val="clear" w:color="auto" w:fill="auto"/>
            <w:tcMar>
              <w:top w:w="0" w:type="dxa"/>
              <w:left w:w="30" w:type="dxa"/>
              <w:bottom w:w="0" w:type="dxa"/>
              <w:right w:w="30" w:type="dxa"/>
            </w:tcMar>
            <w:vAlign w:val="center"/>
            <w:hideMark/>
          </w:tcPr>
          <w:p w14:paraId="69D5CE6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(Intercept)</w:t>
            </w:r>
          </w:p>
        </w:tc>
        <w:tc>
          <w:tcPr>
            <w:tcW w:w="720" w:type="dxa"/>
            <w:tcBorders>
              <w:top w:val="single" w:sz="4" w:space="0" w:color="auto"/>
              <w:left w:val="nil"/>
              <w:bottom w:val="nil"/>
              <w:right w:val="nil"/>
            </w:tcBorders>
            <w:shd w:val="clear" w:color="auto" w:fill="auto"/>
            <w:tcMar>
              <w:top w:w="0" w:type="dxa"/>
              <w:left w:w="30" w:type="dxa"/>
              <w:bottom w:w="0" w:type="dxa"/>
              <w:right w:w="30" w:type="dxa"/>
            </w:tcMar>
            <w:vAlign w:val="center"/>
          </w:tcPr>
          <w:p w14:paraId="4A5BDE9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0.8587</w:t>
            </w:r>
          </w:p>
        </w:tc>
        <w:tc>
          <w:tcPr>
            <w:tcW w:w="810" w:type="dxa"/>
            <w:tcBorders>
              <w:top w:val="single" w:sz="4" w:space="0" w:color="auto"/>
              <w:left w:val="nil"/>
              <w:bottom w:val="nil"/>
              <w:right w:val="nil"/>
            </w:tcBorders>
            <w:shd w:val="clear" w:color="auto" w:fill="auto"/>
            <w:tcMar>
              <w:top w:w="0" w:type="dxa"/>
              <w:left w:w="30" w:type="dxa"/>
              <w:bottom w:w="0" w:type="dxa"/>
              <w:right w:w="30" w:type="dxa"/>
            </w:tcMar>
            <w:vAlign w:val="center"/>
            <w:hideMark/>
          </w:tcPr>
          <w:p w14:paraId="4177484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0.0710</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181BDA0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12.091</w:t>
            </w:r>
          </w:p>
        </w:tc>
        <w:tc>
          <w:tcPr>
            <w:tcW w:w="810" w:type="dxa"/>
            <w:tcBorders>
              <w:top w:val="single" w:sz="4" w:space="0" w:color="auto"/>
              <w:left w:val="nil"/>
              <w:bottom w:val="nil"/>
              <w:right w:val="double" w:sz="4" w:space="0" w:color="auto"/>
            </w:tcBorders>
            <w:shd w:val="clear" w:color="auto" w:fill="auto"/>
            <w:tcMar>
              <w:top w:w="0" w:type="dxa"/>
              <w:left w:w="30" w:type="dxa"/>
              <w:bottom w:w="0" w:type="dxa"/>
              <w:right w:w="30" w:type="dxa"/>
            </w:tcMar>
            <w:vAlign w:val="center"/>
            <w:hideMark/>
          </w:tcPr>
          <w:p w14:paraId="7F8908E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top w:val="single" w:sz="4" w:space="0" w:color="auto"/>
              <w:left w:val="double" w:sz="4" w:space="0" w:color="auto"/>
              <w:bottom w:val="nil"/>
              <w:right w:val="nil"/>
            </w:tcBorders>
            <w:shd w:val="clear" w:color="auto" w:fill="auto"/>
            <w:vAlign w:val="center"/>
          </w:tcPr>
          <w:p w14:paraId="47275A2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0.8930</w:t>
            </w:r>
          </w:p>
        </w:tc>
        <w:tc>
          <w:tcPr>
            <w:tcW w:w="900" w:type="dxa"/>
            <w:tcBorders>
              <w:top w:val="single" w:sz="4" w:space="0" w:color="auto"/>
              <w:left w:val="nil"/>
              <w:bottom w:val="nil"/>
              <w:right w:val="nil"/>
            </w:tcBorders>
            <w:shd w:val="clear" w:color="auto" w:fill="auto"/>
            <w:vAlign w:val="center"/>
          </w:tcPr>
          <w:p w14:paraId="4BB9D0D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0.0803</w:t>
            </w:r>
          </w:p>
        </w:tc>
        <w:tc>
          <w:tcPr>
            <w:tcW w:w="720" w:type="dxa"/>
            <w:tcBorders>
              <w:top w:val="single" w:sz="4" w:space="0" w:color="auto"/>
              <w:left w:val="nil"/>
              <w:bottom w:val="nil"/>
              <w:right w:val="nil"/>
            </w:tcBorders>
            <w:shd w:val="clear" w:color="auto" w:fill="auto"/>
            <w:vAlign w:val="center"/>
          </w:tcPr>
          <w:p w14:paraId="328DF06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11.118</w:t>
            </w:r>
          </w:p>
        </w:tc>
        <w:tc>
          <w:tcPr>
            <w:tcW w:w="720" w:type="dxa"/>
            <w:tcBorders>
              <w:top w:val="single" w:sz="4" w:space="0" w:color="auto"/>
              <w:left w:val="nil"/>
              <w:bottom w:val="nil"/>
              <w:right w:val="nil"/>
            </w:tcBorders>
            <w:shd w:val="clear" w:color="auto" w:fill="auto"/>
            <w:vAlign w:val="center"/>
          </w:tcPr>
          <w:p w14:paraId="0A4C2B2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tcBorders>
              <w:top w:val="single" w:sz="4" w:space="0" w:color="auto"/>
              <w:left w:val="nil"/>
              <w:bottom w:val="nil"/>
              <w:right w:val="nil"/>
            </w:tcBorders>
            <w:shd w:val="clear" w:color="auto" w:fill="auto"/>
            <w:vAlign w:val="center"/>
          </w:tcPr>
          <w:p w14:paraId="2721716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0.0174</w:t>
            </w:r>
          </w:p>
        </w:tc>
        <w:tc>
          <w:tcPr>
            <w:tcW w:w="1170" w:type="dxa"/>
            <w:tcBorders>
              <w:top w:val="single" w:sz="4" w:space="0" w:color="auto"/>
              <w:left w:val="nil"/>
              <w:bottom w:val="nil"/>
              <w:right w:val="nil"/>
            </w:tcBorders>
            <w:shd w:val="clear" w:color="auto" w:fill="auto"/>
            <w:vAlign w:val="center"/>
          </w:tcPr>
          <w:p w14:paraId="4908799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0.1319</w:t>
            </w:r>
          </w:p>
        </w:tc>
      </w:tr>
      <w:tr w:rsidR="007B26A4" w:rsidRPr="00CD2F5C" w14:paraId="4D82F72D"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4C203D1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ProfessionalInfoAnxietyYes</w:t>
            </w:r>
            <w:proofErr w:type="spellEnd"/>
          </w:p>
        </w:tc>
        <w:tc>
          <w:tcPr>
            <w:tcW w:w="720" w:type="dxa"/>
            <w:shd w:val="clear" w:color="auto" w:fill="auto"/>
            <w:tcMar>
              <w:top w:w="0" w:type="dxa"/>
              <w:left w:w="30" w:type="dxa"/>
              <w:bottom w:w="0" w:type="dxa"/>
              <w:right w:w="30" w:type="dxa"/>
            </w:tcMar>
            <w:vAlign w:val="center"/>
          </w:tcPr>
          <w:p w14:paraId="0BD45A9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0.0249</w:t>
            </w:r>
          </w:p>
        </w:tc>
        <w:tc>
          <w:tcPr>
            <w:tcW w:w="810" w:type="dxa"/>
            <w:shd w:val="clear" w:color="auto" w:fill="auto"/>
            <w:tcMar>
              <w:top w:w="0" w:type="dxa"/>
              <w:left w:w="30" w:type="dxa"/>
              <w:bottom w:w="0" w:type="dxa"/>
              <w:right w:w="30" w:type="dxa"/>
            </w:tcMar>
            <w:vAlign w:val="center"/>
            <w:hideMark/>
          </w:tcPr>
          <w:p w14:paraId="6CA45EB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0.0415</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78D3A3F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0.601</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6A455DB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0.548</w:t>
            </w:r>
          </w:p>
        </w:tc>
        <w:tc>
          <w:tcPr>
            <w:tcW w:w="720" w:type="dxa"/>
            <w:tcBorders>
              <w:left w:val="double" w:sz="4" w:space="0" w:color="auto"/>
            </w:tcBorders>
            <w:shd w:val="clear" w:color="auto" w:fill="auto"/>
            <w:vAlign w:val="center"/>
          </w:tcPr>
          <w:p w14:paraId="022A325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0.0381</w:t>
            </w:r>
          </w:p>
        </w:tc>
        <w:tc>
          <w:tcPr>
            <w:tcW w:w="900" w:type="dxa"/>
            <w:shd w:val="clear" w:color="auto" w:fill="auto"/>
            <w:vAlign w:val="center"/>
          </w:tcPr>
          <w:p w14:paraId="27DA182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0.0561</w:t>
            </w:r>
          </w:p>
        </w:tc>
        <w:tc>
          <w:tcPr>
            <w:tcW w:w="720" w:type="dxa"/>
            <w:shd w:val="clear" w:color="auto" w:fill="auto"/>
            <w:vAlign w:val="center"/>
          </w:tcPr>
          <w:p w14:paraId="74DDAD9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0.680</w:t>
            </w:r>
          </w:p>
        </w:tc>
        <w:tc>
          <w:tcPr>
            <w:tcW w:w="720" w:type="dxa"/>
            <w:shd w:val="clear" w:color="auto" w:fill="auto"/>
            <w:vAlign w:val="center"/>
          </w:tcPr>
          <w:p w14:paraId="775982B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0.496</w:t>
            </w:r>
          </w:p>
        </w:tc>
        <w:tc>
          <w:tcPr>
            <w:tcW w:w="810" w:type="dxa"/>
            <w:gridSpan w:val="2"/>
            <w:shd w:val="clear" w:color="auto" w:fill="auto"/>
            <w:vAlign w:val="center"/>
          </w:tcPr>
          <w:p w14:paraId="3FF9D43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0.0354</w:t>
            </w:r>
          </w:p>
        </w:tc>
        <w:tc>
          <w:tcPr>
            <w:tcW w:w="1170" w:type="dxa"/>
            <w:shd w:val="clear" w:color="auto" w:fill="auto"/>
            <w:vAlign w:val="center"/>
          </w:tcPr>
          <w:p w14:paraId="6E4E50E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0.1882</w:t>
            </w:r>
          </w:p>
        </w:tc>
      </w:tr>
      <w:tr w:rsidR="007B26A4" w:rsidRPr="00CD2F5C" w14:paraId="25325FAD"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34514EF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TroubleRelaxing</w:t>
            </w:r>
            <w:proofErr w:type="spellEnd"/>
          </w:p>
        </w:tc>
        <w:tc>
          <w:tcPr>
            <w:tcW w:w="720" w:type="dxa"/>
            <w:shd w:val="clear" w:color="auto" w:fill="auto"/>
            <w:tcMar>
              <w:top w:w="0" w:type="dxa"/>
              <w:left w:w="30" w:type="dxa"/>
              <w:bottom w:w="0" w:type="dxa"/>
              <w:right w:w="30" w:type="dxa"/>
            </w:tcMar>
            <w:vAlign w:val="center"/>
          </w:tcPr>
          <w:p w14:paraId="2E50315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0.0961</w:t>
            </w:r>
          </w:p>
        </w:tc>
        <w:tc>
          <w:tcPr>
            <w:tcW w:w="810" w:type="dxa"/>
            <w:shd w:val="clear" w:color="auto" w:fill="auto"/>
            <w:tcMar>
              <w:top w:w="0" w:type="dxa"/>
              <w:left w:w="30" w:type="dxa"/>
              <w:bottom w:w="0" w:type="dxa"/>
              <w:right w:w="30" w:type="dxa"/>
            </w:tcMar>
            <w:vAlign w:val="center"/>
            <w:hideMark/>
          </w:tcPr>
          <w:p w14:paraId="558223A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0.0174</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7C9FD02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5.529</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1A026C3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left w:val="double" w:sz="4" w:space="0" w:color="auto"/>
            </w:tcBorders>
            <w:shd w:val="clear" w:color="auto" w:fill="auto"/>
            <w:vAlign w:val="center"/>
          </w:tcPr>
          <w:p w14:paraId="69FE95C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0.0888</w:t>
            </w:r>
          </w:p>
        </w:tc>
        <w:tc>
          <w:tcPr>
            <w:tcW w:w="900" w:type="dxa"/>
            <w:shd w:val="clear" w:color="auto" w:fill="auto"/>
            <w:vAlign w:val="center"/>
          </w:tcPr>
          <w:p w14:paraId="66C3FF2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0.0183</w:t>
            </w:r>
          </w:p>
        </w:tc>
        <w:tc>
          <w:tcPr>
            <w:tcW w:w="720" w:type="dxa"/>
            <w:shd w:val="clear" w:color="auto" w:fill="auto"/>
            <w:vAlign w:val="center"/>
          </w:tcPr>
          <w:p w14:paraId="0820668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4.856</w:t>
            </w:r>
          </w:p>
        </w:tc>
        <w:tc>
          <w:tcPr>
            <w:tcW w:w="720" w:type="dxa"/>
            <w:shd w:val="clear" w:color="auto" w:fill="auto"/>
            <w:vAlign w:val="center"/>
          </w:tcPr>
          <w:p w14:paraId="5E0AA12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shd w:val="clear" w:color="auto" w:fill="auto"/>
            <w:vAlign w:val="center"/>
          </w:tcPr>
          <w:p w14:paraId="58D48FD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6D9FC41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2396AA24"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188D480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MuscleSymptomsAnxietyYes</w:t>
            </w:r>
            <w:proofErr w:type="spellEnd"/>
          </w:p>
        </w:tc>
        <w:tc>
          <w:tcPr>
            <w:tcW w:w="720" w:type="dxa"/>
            <w:shd w:val="clear" w:color="auto" w:fill="auto"/>
            <w:tcMar>
              <w:top w:w="0" w:type="dxa"/>
              <w:left w:w="30" w:type="dxa"/>
              <w:bottom w:w="0" w:type="dxa"/>
              <w:right w:w="30" w:type="dxa"/>
            </w:tcMar>
            <w:vAlign w:val="center"/>
          </w:tcPr>
          <w:p w14:paraId="7F11797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0.2134</w:t>
            </w:r>
          </w:p>
        </w:tc>
        <w:tc>
          <w:tcPr>
            <w:tcW w:w="810" w:type="dxa"/>
            <w:shd w:val="clear" w:color="auto" w:fill="auto"/>
            <w:tcMar>
              <w:top w:w="0" w:type="dxa"/>
              <w:left w:w="30" w:type="dxa"/>
              <w:bottom w:w="0" w:type="dxa"/>
              <w:right w:w="30" w:type="dxa"/>
            </w:tcMar>
            <w:vAlign w:val="center"/>
            <w:hideMark/>
          </w:tcPr>
          <w:p w14:paraId="5C6D3E7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0.0373</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660247A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5.719</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0083A52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left w:val="double" w:sz="4" w:space="0" w:color="auto"/>
            </w:tcBorders>
            <w:shd w:val="clear" w:color="auto" w:fill="auto"/>
            <w:vAlign w:val="center"/>
          </w:tcPr>
          <w:p w14:paraId="556316E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0.1998</w:t>
            </w:r>
          </w:p>
        </w:tc>
        <w:tc>
          <w:tcPr>
            <w:tcW w:w="900" w:type="dxa"/>
            <w:shd w:val="clear" w:color="auto" w:fill="auto"/>
            <w:vAlign w:val="center"/>
          </w:tcPr>
          <w:p w14:paraId="5572073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0.0497</w:t>
            </w:r>
          </w:p>
        </w:tc>
        <w:tc>
          <w:tcPr>
            <w:tcW w:w="720" w:type="dxa"/>
            <w:shd w:val="clear" w:color="auto" w:fill="auto"/>
            <w:vAlign w:val="center"/>
          </w:tcPr>
          <w:p w14:paraId="128C8F5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4.024</w:t>
            </w:r>
          </w:p>
        </w:tc>
        <w:tc>
          <w:tcPr>
            <w:tcW w:w="720" w:type="dxa"/>
            <w:shd w:val="clear" w:color="auto" w:fill="auto"/>
            <w:vAlign w:val="center"/>
          </w:tcPr>
          <w:p w14:paraId="3564EBA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shd w:val="clear" w:color="auto" w:fill="auto"/>
            <w:vAlign w:val="center"/>
          </w:tcPr>
          <w:p w14:paraId="7BB2469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0.0253</w:t>
            </w:r>
          </w:p>
        </w:tc>
        <w:tc>
          <w:tcPr>
            <w:tcW w:w="1170" w:type="dxa"/>
            <w:shd w:val="clear" w:color="auto" w:fill="auto"/>
            <w:vAlign w:val="center"/>
          </w:tcPr>
          <w:p w14:paraId="014A89D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0.1602</w:t>
            </w:r>
          </w:p>
        </w:tc>
      </w:tr>
      <w:tr w:rsidR="007B26A4" w:rsidRPr="00CD2F5C" w14:paraId="5F0332CC"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6609E0E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lastRenderedPageBreak/>
              <w:t>FeltHated</w:t>
            </w:r>
            <w:proofErr w:type="spellEnd"/>
          </w:p>
        </w:tc>
        <w:tc>
          <w:tcPr>
            <w:tcW w:w="720" w:type="dxa"/>
            <w:shd w:val="clear" w:color="auto" w:fill="auto"/>
            <w:tcMar>
              <w:top w:w="0" w:type="dxa"/>
              <w:left w:w="30" w:type="dxa"/>
              <w:bottom w:w="0" w:type="dxa"/>
              <w:right w:w="30" w:type="dxa"/>
            </w:tcMar>
            <w:vAlign w:val="center"/>
          </w:tcPr>
          <w:p w14:paraId="2406ABC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0.0530</w:t>
            </w:r>
          </w:p>
        </w:tc>
        <w:tc>
          <w:tcPr>
            <w:tcW w:w="810" w:type="dxa"/>
            <w:shd w:val="clear" w:color="auto" w:fill="auto"/>
            <w:tcMar>
              <w:top w:w="0" w:type="dxa"/>
              <w:left w:w="30" w:type="dxa"/>
              <w:bottom w:w="0" w:type="dxa"/>
              <w:right w:w="30" w:type="dxa"/>
            </w:tcMar>
            <w:vAlign w:val="center"/>
            <w:hideMark/>
          </w:tcPr>
          <w:p w14:paraId="2EF8614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0.0156</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09B7FFC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3.401</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72DBAD0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0.001</w:t>
            </w:r>
          </w:p>
        </w:tc>
        <w:tc>
          <w:tcPr>
            <w:tcW w:w="720" w:type="dxa"/>
            <w:tcBorders>
              <w:left w:val="double" w:sz="4" w:space="0" w:color="auto"/>
            </w:tcBorders>
            <w:shd w:val="clear" w:color="auto" w:fill="auto"/>
            <w:vAlign w:val="center"/>
          </w:tcPr>
          <w:p w14:paraId="708B14C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0.0504</w:t>
            </w:r>
          </w:p>
        </w:tc>
        <w:tc>
          <w:tcPr>
            <w:tcW w:w="900" w:type="dxa"/>
            <w:shd w:val="clear" w:color="auto" w:fill="auto"/>
            <w:vAlign w:val="center"/>
          </w:tcPr>
          <w:p w14:paraId="22A8172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0.0159</w:t>
            </w:r>
          </w:p>
        </w:tc>
        <w:tc>
          <w:tcPr>
            <w:tcW w:w="720" w:type="dxa"/>
            <w:shd w:val="clear" w:color="auto" w:fill="auto"/>
            <w:vAlign w:val="center"/>
          </w:tcPr>
          <w:p w14:paraId="258C90A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3.160</w:t>
            </w:r>
          </w:p>
        </w:tc>
        <w:tc>
          <w:tcPr>
            <w:tcW w:w="720" w:type="dxa"/>
            <w:shd w:val="clear" w:color="auto" w:fill="auto"/>
            <w:vAlign w:val="center"/>
          </w:tcPr>
          <w:p w14:paraId="1C952E1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0.002</w:t>
            </w:r>
          </w:p>
        </w:tc>
        <w:tc>
          <w:tcPr>
            <w:tcW w:w="810" w:type="dxa"/>
            <w:gridSpan w:val="2"/>
            <w:shd w:val="clear" w:color="auto" w:fill="auto"/>
            <w:vAlign w:val="center"/>
          </w:tcPr>
          <w:p w14:paraId="22159AF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31E5FC0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439475BD"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18C09F2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PhysicallyAbused</w:t>
            </w:r>
            <w:proofErr w:type="spellEnd"/>
          </w:p>
        </w:tc>
        <w:tc>
          <w:tcPr>
            <w:tcW w:w="720" w:type="dxa"/>
            <w:shd w:val="clear" w:color="auto" w:fill="auto"/>
            <w:tcMar>
              <w:top w:w="0" w:type="dxa"/>
              <w:left w:w="30" w:type="dxa"/>
              <w:bottom w:w="0" w:type="dxa"/>
              <w:right w:w="30" w:type="dxa"/>
            </w:tcMar>
            <w:vAlign w:val="center"/>
          </w:tcPr>
          <w:p w14:paraId="30A6ED0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0.0786</w:t>
            </w:r>
          </w:p>
        </w:tc>
        <w:tc>
          <w:tcPr>
            <w:tcW w:w="810" w:type="dxa"/>
            <w:shd w:val="clear" w:color="auto" w:fill="auto"/>
            <w:tcMar>
              <w:top w:w="0" w:type="dxa"/>
              <w:left w:w="30" w:type="dxa"/>
              <w:bottom w:w="0" w:type="dxa"/>
              <w:right w:w="30" w:type="dxa"/>
            </w:tcMar>
            <w:vAlign w:val="center"/>
            <w:hideMark/>
          </w:tcPr>
          <w:p w14:paraId="0EE0903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0.0200</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58098A4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3.930</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010AF97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left w:val="double" w:sz="4" w:space="0" w:color="auto"/>
            </w:tcBorders>
            <w:shd w:val="clear" w:color="auto" w:fill="auto"/>
            <w:vAlign w:val="center"/>
          </w:tcPr>
          <w:p w14:paraId="1D11607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0.0755</w:t>
            </w:r>
          </w:p>
        </w:tc>
        <w:tc>
          <w:tcPr>
            <w:tcW w:w="900" w:type="dxa"/>
            <w:shd w:val="clear" w:color="auto" w:fill="auto"/>
            <w:vAlign w:val="center"/>
          </w:tcPr>
          <w:p w14:paraId="3EAE6FF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0.0269</w:t>
            </w:r>
          </w:p>
        </w:tc>
        <w:tc>
          <w:tcPr>
            <w:tcW w:w="720" w:type="dxa"/>
            <w:shd w:val="clear" w:color="auto" w:fill="auto"/>
            <w:vAlign w:val="center"/>
          </w:tcPr>
          <w:p w14:paraId="450A986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2.805</w:t>
            </w:r>
          </w:p>
        </w:tc>
        <w:tc>
          <w:tcPr>
            <w:tcW w:w="720" w:type="dxa"/>
            <w:shd w:val="clear" w:color="auto" w:fill="auto"/>
            <w:vAlign w:val="center"/>
          </w:tcPr>
          <w:p w14:paraId="4284BF9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0.005</w:t>
            </w:r>
          </w:p>
        </w:tc>
        <w:tc>
          <w:tcPr>
            <w:tcW w:w="810" w:type="dxa"/>
            <w:gridSpan w:val="2"/>
            <w:shd w:val="clear" w:color="auto" w:fill="auto"/>
            <w:vAlign w:val="center"/>
          </w:tcPr>
          <w:p w14:paraId="79B600F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0.0085</w:t>
            </w:r>
          </w:p>
        </w:tc>
        <w:tc>
          <w:tcPr>
            <w:tcW w:w="1170" w:type="dxa"/>
            <w:shd w:val="clear" w:color="auto" w:fill="auto"/>
            <w:vAlign w:val="center"/>
          </w:tcPr>
          <w:p w14:paraId="564F845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0.0924</w:t>
            </w:r>
          </w:p>
        </w:tc>
      </w:tr>
      <w:tr w:rsidR="007B26A4" w:rsidRPr="00CD2F5C" w14:paraId="40CBB651"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3175AAB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SexuallyAbused</w:t>
            </w:r>
            <w:proofErr w:type="spellEnd"/>
          </w:p>
        </w:tc>
        <w:tc>
          <w:tcPr>
            <w:tcW w:w="720" w:type="dxa"/>
            <w:shd w:val="clear" w:color="auto" w:fill="auto"/>
            <w:tcMar>
              <w:top w:w="0" w:type="dxa"/>
              <w:left w:w="30" w:type="dxa"/>
              <w:bottom w:w="0" w:type="dxa"/>
              <w:right w:w="30" w:type="dxa"/>
            </w:tcMar>
            <w:vAlign w:val="center"/>
          </w:tcPr>
          <w:p w14:paraId="0A237DF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0.0940</w:t>
            </w:r>
          </w:p>
        </w:tc>
        <w:tc>
          <w:tcPr>
            <w:tcW w:w="810" w:type="dxa"/>
            <w:shd w:val="clear" w:color="auto" w:fill="auto"/>
            <w:tcMar>
              <w:top w:w="0" w:type="dxa"/>
              <w:left w:w="30" w:type="dxa"/>
              <w:bottom w:w="0" w:type="dxa"/>
              <w:right w:w="30" w:type="dxa"/>
            </w:tcMar>
            <w:vAlign w:val="center"/>
            <w:hideMark/>
          </w:tcPr>
          <w:p w14:paraId="0EA3F86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0.0266</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437E079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3.527</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54F6538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left w:val="double" w:sz="4" w:space="0" w:color="auto"/>
            </w:tcBorders>
            <w:shd w:val="clear" w:color="auto" w:fill="auto"/>
            <w:vAlign w:val="center"/>
          </w:tcPr>
          <w:p w14:paraId="08EFE8F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0.0745</w:t>
            </w:r>
          </w:p>
        </w:tc>
        <w:tc>
          <w:tcPr>
            <w:tcW w:w="900" w:type="dxa"/>
            <w:shd w:val="clear" w:color="auto" w:fill="auto"/>
            <w:vAlign w:val="center"/>
          </w:tcPr>
          <w:p w14:paraId="76C9340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0.0274</w:t>
            </w:r>
          </w:p>
        </w:tc>
        <w:tc>
          <w:tcPr>
            <w:tcW w:w="720" w:type="dxa"/>
            <w:shd w:val="clear" w:color="auto" w:fill="auto"/>
            <w:vAlign w:val="center"/>
          </w:tcPr>
          <w:p w14:paraId="1FDDEAC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2.720</w:t>
            </w:r>
          </w:p>
        </w:tc>
        <w:tc>
          <w:tcPr>
            <w:tcW w:w="720" w:type="dxa"/>
            <w:shd w:val="clear" w:color="auto" w:fill="auto"/>
            <w:vAlign w:val="center"/>
          </w:tcPr>
          <w:p w14:paraId="1F83AB7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0.007</w:t>
            </w:r>
          </w:p>
        </w:tc>
        <w:tc>
          <w:tcPr>
            <w:tcW w:w="810" w:type="dxa"/>
            <w:gridSpan w:val="2"/>
            <w:shd w:val="clear" w:color="auto" w:fill="auto"/>
            <w:vAlign w:val="center"/>
          </w:tcPr>
          <w:p w14:paraId="19565E7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2172810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256AA104" w14:textId="77777777" w:rsidTr="00BF4B86">
        <w:trPr>
          <w:trHeight w:val="340"/>
          <w:jc w:val="center"/>
        </w:trPr>
        <w:tc>
          <w:tcPr>
            <w:tcW w:w="2340" w:type="dxa"/>
            <w:shd w:val="clear" w:color="auto" w:fill="auto"/>
            <w:tcMar>
              <w:top w:w="0" w:type="dxa"/>
              <w:left w:w="30" w:type="dxa"/>
              <w:bottom w:w="0" w:type="dxa"/>
              <w:right w:w="30" w:type="dxa"/>
            </w:tcMar>
            <w:vAlign w:val="bottom"/>
            <w:hideMark/>
          </w:tcPr>
          <w:p w14:paraId="621E08A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TakenToDoctorIfNeeded</w:t>
            </w:r>
          </w:p>
        </w:tc>
        <w:tc>
          <w:tcPr>
            <w:tcW w:w="720" w:type="dxa"/>
            <w:shd w:val="clear" w:color="auto" w:fill="auto"/>
            <w:tcMar>
              <w:top w:w="0" w:type="dxa"/>
              <w:left w:w="30" w:type="dxa"/>
              <w:bottom w:w="0" w:type="dxa"/>
              <w:right w:w="30" w:type="dxa"/>
            </w:tcMar>
            <w:vAlign w:val="center"/>
          </w:tcPr>
          <w:p w14:paraId="353FF17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-0.0431</w:t>
            </w:r>
          </w:p>
        </w:tc>
        <w:tc>
          <w:tcPr>
            <w:tcW w:w="810" w:type="dxa"/>
            <w:shd w:val="clear" w:color="auto" w:fill="auto"/>
            <w:tcMar>
              <w:top w:w="0" w:type="dxa"/>
              <w:left w:w="30" w:type="dxa"/>
              <w:bottom w:w="0" w:type="dxa"/>
              <w:right w:w="30" w:type="dxa"/>
            </w:tcMar>
            <w:vAlign w:val="center"/>
            <w:hideMark/>
          </w:tcPr>
          <w:p w14:paraId="711E946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0.0164</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3D2F31A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-2.633</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569049B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0.008</w:t>
            </w:r>
          </w:p>
        </w:tc>
        <w:tc>
          <w:tcPr>
            <w:tcW w:w="720" w:type="dxa"/>
            <w:tcBorders>
              <w:left w:val="double" w:sz="4" w:space="0" w:color="auto"/>
            </w:tcBorders>
            <w:shd w:val="clear" w:color="auto" w:fill="auto"/>
            <w:vAlign w:val="center"/>
          </w:tcPr>
          <w:p w14:paraId="7868522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-0.0405</w:t>
            </w:r>
          </w:p>
        </w:tc>
        <w:tc>
          <w:tcPr>
            <w:tcW w:w="900" w:type="dxa"/>
            <w:shd w:val="clear" w:color="auto" w:fill="auto"/>
            <w:vAlign w:val="center"/>
          </w:tcPr>
          <w:p w14:paraId="5524CB9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0.0167</w:t>
            </w:r>
          </w:p>
        </w:tc>
        <w:tc>
          <w:tcPr>
            <w:tcW w:w="720" w:type="dxa"/>
            <w:shd w:val="clear" w:color="auto" w:fill="auto"/>
            <w:vAlign w:val="center"/>
          </w:tcPr>
          <w:p w14:paraId="7FA2E12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-2.426</w:t>
            </w:r>
          </w:p>
        </w:tc>
        <w:tc>
          <w:tcPr>
            <w:tcW w:w="720" w:type="dxa"/>
            <w:shd w:val="clear" w:color="auto" w:fill="auto"/>
            <w:vAlign w:val="center"/>
          </w:tcPr>
          <w:p w14:paraId="26A38C3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0.015</w:t>
            </w:r>
          </w:p>
        </w:tc>
        <w:tc>
          <w:tcPr>
            <w:tcW w:w="810" w:type="dxa"/>
            <w:gridSpan w:val="2"/>
            <w:shd w:val="clear" w:color="auto" w:fill="auto"/>
            <w:vAlign w:val="center"/>
          </w:tcPr>
          <w:p w14:paraId="6B4658D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04CC1C6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780BC2A4" w14:textId="77777777" w:rsidTr="00BF4B86">
        <w:trPr>
          <w:trHeight w:val="340"/>
          <w:jc w:val="center"/>
        </w:trPr>
        <w:tc>
          <w:tcPr>
            <w:tcW w:w="2340" w:type="dxa"/>
            <w:shd w:val="clear" w:color="auto" w:fill="auto"/>
            <w:tcMar>
              <w:top w:w="0" w:type="dxa"/>
              <w:left w:w="30" w:type="dxa"/>
              <w:bottom w:w="0" w:type="dxa"/>
              <w:right w:w="30" w:type="dxa"/>
            </w:tcMar>
            <w:vAlign w:val="bottom"/>
          </w:tcPr>
          <w:p w14:paraId="06AFEB2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C_Reactive_Protein_avg</w:t>
            </w:r>
            <w:proofErr w:type="spellEnd"/>
          </w:p>
        </w:tc>
        <w:tc>
          <w:tcPr>
            <w:tcW w:w="720" w:type="dxa"/>
            <w:shd w:val="clear" w:color="auto" w:fill="auto"/>
            <w:tcMar>
              <w:top w:w="0" w:type="dxa"/>
              <w:left w:w="30" w:type="dxa"/>
              <w:bottom w:w="0" w:type="dxa"/>
              <w:right w:w="30" w:type="dxa"/>
            </w:tcMar>
            <w:vAlign w:val="center"/>
          </w:tcPr>
          <w:p w14:paraId="25DBE7D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-0.0075</w:t>
            </w:r>
          </w:p>
        </w:tc>
        <w:tc>
          <w:tcPr>
            <w:tcW w:w="810" w:type="dxa"/>
            <w:shd w:val="clear" w:color="auto" w:fill="auto"/>
            <w:tcMar>
              <w:top w:w="0" w:type="dxa"/>
              <w:left w:w="30" w:type="dxa"/>
              <w:bottom w:w="0" w:type="dxa"/>
              <w:right w:w="30" w:type="dxa"/>
            </w:tcMar>
            <w:vAlign w:val="center"/>
          </w:tcPr>
          <w:p w14:paraId="005A0C4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0.0145</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1996E71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-0.517</w:t>
            </w:r>
          </w:p>
        </w:tc>
        <w:tc>
          <w:tcPr>
            <w:tcW w:w="810" w:type="dxa"/>
            <w:tcBorders>
              <w:right w:val="double" w:sz="4" w:space="0" w:color="auto"/>
            </w:tcBorders>
            <w:shd w:val="clear" w:color="auto" w:fill="auto"/>
            <w:tcMar>
              <w:top w:w="0" w:type="dxa"/>
              <w:left w:w="30" w:type="dxa"/>
              <w:bottom w:w="0" w:type="dxa"/>
              <w:right w:w="30" w:type="dxa"/>
            </w:tcMar>
            <w:vAlign w:val="center"/>
          </w:tcPr>
          <w:p w14:paraId="4D2B9C7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0.605</w:t>
            </w:r>
          </w:p>
        </w:tc>
        <w:tc>
          <w:tcPr>
            <w:tcW w:w="720" w:type="dxa"/>
            <w:tcBorders>
              <w:left w:val="double" w:sz="4" w:space="0" w:color="auto"/>
            </w:tcBorders>
            <w:shd w:val="clear" w:color="auto" w:fill="auto"/>
            <w:vAlign w:val="center"/>
          </w:tcPr>
          <w:p w14:paraId="1D1E844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-0.0034</w:t>
            </w:r>
          </w:p>
        </w:tc>
        <w:tc>
          <w:tcPr>
            <w:tcW w:w="900" w:type="dxa"/>
            <w:shd w:val="clear" w:color="auto" w:fill="auto"/>
            <w:vAlign w:val="center"/>
          </w:tcPr>
          <w:p w14:paraId="36C4D42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0.0147</w:t>
            </w:r>
          </w:p>
        </w:tc>
        <w:tc>
          <w:tcPr>
            <w:tcW w:w="720" w:type="dxa"/>
            <w:shd w:val="clear" w:color="auto" w:fill="auto"/>
            <w:vAlign w:val="center"/>
          </w:tcPr>
          <w:p w14:paraId="380AF55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-0.231</w:t>
            </w:r>
          </w:p>
        </w:tc>
        <w:tc>
          <w:tcPr>
            <w:tcW w:w="720" w:type="dxa"/>
            <w:shd w:val="clear" w:color="auto" w:fill="auto"/>
            <w:vAlign w:val="center"/>
          </w:tcPr>
          <w:p w14:paraId="1773E8E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0.818</w:t>
            </w:r>
          </w:p>
        </w:tc>
        <w:tc>
          <w:tcPr>
            <w:tcW w:w="810" w:type="dxa"/>
            <w:gridSpan w:val="2"/>
            <w:shd w:val="clear" w:color="auto" w:fill="auto"/>
            <w:vAlign w:val="center"/>
          </w:tcPr>
          <w:p w14:paraId="54BA798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10D5E05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21EC9D36" w14:textId="77777777" w:rsidTr="00BF4B86">
        <w:trPr>
          <w:trHeight w:val="485"/>
          <w:jc w:val="center"/>
        </w:trPr>
        <w:tc>
          <w:tcPr>
            <w:tcW w:w="2340" w:type="dxa"/>
            <w:shd w:val="clear" w:color="auto" w:fill="auto"/>
            <w:tcMar>
              <w:top w:w="0" w:type="dxa"/>
              <w:left w:w="30" w:type="dxa"/>
              <w:bottom w:w="0" w:type="dxa"/>
              <w:right w:w="30" w:type="dxa"/>
            </w:tcMar>
            <w:vAlign w:val="bottom"/>
            <w:hideMark/>
          </w:tcPr>
          <w:p w14:paraId="7636FC6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PhysicallyAbused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SexuallyAbused</w:t>
            </w:r>
            <w:proofErr w:type="spellEnd"/>
          </w:p>
        </w:tc>
        <w:tc>
          <w:tcPr>
            <w:tcW w:w="720" w:type="dxa"/>
            <w:shd w:val="clear" w:color="auto" w:fill="auto"/>
            <w:tcMar>
              <w:top w:w="0" w:type="dxa"/>
              <w:left w:w="30" w:type="dxa"/>
              <w:bottom w:w="0" w:type="dxa"/>
              <w:right w:w="30" w:type="dxa"/>
            </w:tcMar>
            <w:vAlign w:val="center"/>
          </w:tcPr>
          <w:p w14:paraId="367DA16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-0.0854</w:t>
            </w:r>
          </w:p>
        </w:tc>
        <w:tc>
          <w:tcPr>
            <w:tcW w:w="810" w:type="dxa"/>
            <w:shd w:val="clear" w:color="auto" w:fill="auto"/>
            <w:tcMar>
              <w:top w:w="0" w:type="dxa"/>
              <w:left w:w="30" w:type="dxa"/>
              <w:bottom w:w="0" w:type="dxa"/>
              <w:right w:w="30" w:type="dxa"/>
            </w:tcMar>
            <w:vAlign w:val="center"/>
            <w:hideMark/>
          </w:tcPr>
          <w:p w14:paraId="0CA5F03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0.0181</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54FD5B3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-4.727</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16A1937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left w:val="double" w:sz="4" w:space="0" w:color="auto"/>
            </w:tcBorders>
            <w:shd w:val="clear" w:color="auto" w:fill="auto"/>
            <w:vAlign w:val="center"/>
          </w:tcPr>
          <w:p w14:paraId="4FA31C7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-0.0743</w:t>
            </w:r>
          </w:p>
        </w:tc>
        <w:tc>
          <w:tcPr>
            <w:tcW w:w="900" w:type="dxa"/>
            <w:shd w:val="clear" w:color="auto" w:fill="auto"/>
            <w:vAlign w:val="center"/>
          </w:tcPr>
          <w:p w14:paraId="3F86D73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0.0186</w:t>
            </w:r>
          </w:p>
        </w:tc>
        <w:tc>
          <w:tcPr>
            <w:tcW w:w="720" w:type="dxa"/>
            <w:shd w:val="clear" w:color="auto" w:fill="auto"/>
            <w:vAlign w:val="center"/>
          </w:tcPr>
          <w:p w14:paraId="32FB53B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-3.990</w:t>
            </w:r>
          </w:p>
        </w:tc>
        <w:tc>
          <w:tcPr>
            <w:tcW w:w="720" w:type="dxa"/>
            <w:shd w:val="clear" w:color="auto" w:fill="auto"/>
            <w:vAlign w:val="center"/>
          </w:tcPr>
          <w:p w14:paraId="6EC75B2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shd w:val="clear" w:color="auto" w:fill="auto"/>
            <w:vAlign w:val="center"/>
          </w:tcPr>
          <w:p w14:paraId="710213C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77BCD2B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70D06C6E" w14:textId="77777777" w:rsidTr="00BF4B86">
        <w:trPr>
          <w:trHeight w:val="503"/>
          <w:jc w:val="center"/>
        </w:trPr>
        <w:tc>
          <w:tcPr>
            <w:tcW w:w="2340" w:type="dxa"/>
            <w:shd w:val="clear" w:color="auto" w:fill="auto"/>
            <w:tcMar>
              <w:top w:w="0" w:type="dxa"/>
              <w:left w:w="30" w:type="dxa"/>
              <w:bottom w:w="0" w:type="dxa"/>
              <w:right w:w="30" w:type="dxa"/>
            </w:tcMar>
            <w:vAlign w:val="bottom"/>
            <w:hideMark/>
          </w:tcPr>
          <w:p w14:paraId="0D57D54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ProfessionalInfoAnxietyYes</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C_ReactiveProtein_avg</w:t>
            </w:r>
            <w:proofErr w:type="spellEnd"/>
          </w:p>
        </w:tc>
        <w:tc>
          <w:tcPr>
            <w:tcW w:w="720" w:type="dxa"/>
            <w:shd w:val="clear" w:color="auto" w:fill="auto"/>
            <w:tcMar>
              <w:top w:w="0" w:type="dxa"/>
              <w:left w:w="30" w:type="dxa"/>
              <w:bottom w:w="0" w:type="dxa"/>
              <w:right w:w="30" w:type="dxa"/>
            </w:tcMar>
            <w:vAlign w:val="center"/>
          </w:tcPr>
          <w:p w14:paraId="7D9E6C5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0.0394</w:t>
            </w:r>
          </w:p>
        </w:tc>
        <w:tc>
          <w:tcPr>
            <w:tcW w:w="810" w:type="dxa"/>
            <w:shd w:val="clear" w:color="auto" w:fill="auto"/>
            <w:tcMar>
              <w:top w:w="0" w:type="dxa"/>
              <w:left w:w="30" w:type="dxa"/>
              <w:bottom w:w="0" w:type="dxa"/>
              <w:right w:w="30" w:type="dxa"/>
            </w:tcMar>
            <w:vAlign w:val="center"/>
            <w:hideMark/>
          </w:tcPr>
          <w:p w14:paraId="41AE69F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0.0104</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5B24236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3.769</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146E741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left w:val="double" w:sz="4" w:space="0" w:color="auto"/>
            </w:tcBorders>
            <w:shd w:val="clear" w:color="auto" w:fill="auto"/>
            <w:vAlign w:val="center"/>
          </w:tcPr>
          <w:p w14:paraId="6C67879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0.0392</w:t>
            </w:r>
          </w:p>
        </w:tc>
        <w:tc>
          <w:tcPr>
            <w:tcW w:w="900" w:type="dxa"/>
            <w:shd w:val="clear" w:color="auto" w:fill="auto"/>
            <w:vAlign w:val="center"/>
          </w:tcPr>
          <w:p w14:paraId="5ACA914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0.0108</w:t>
            </w:r>
          </w:p>
        </w:tc>
        <w:tc>
          <w:tcPr>
            <w:tcW w:w="720" w:type="dxa"/>
            <w:shd w:val="clear" w:color="auto" w:fill="auto"/>
            <w:vAlign w:val="center"/>
          </w:tcPr>
          <w:p w14:paraId="2833A1A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3.624</w:t>
            </w:r>
          </w:p>
        </w:tc>
        <w:tc>
          <w:tcPr>
            <w:tcW w:w="720" w:type="dxa"/>
            <w:shd w:val="clear" w:color="auto" w:fill="auto"/>
            <w:vAlign w:val="center"/>
          </w:tcPr>
          <w:p w14:paraId="5FCDC6E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shd w:val="clear" w:color="auto" w:fill="auto"/>
            <w:vAlign w:val="center"/>
          </w:tcPr>
          <w:p w14:paraId="74557FE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0F19EE1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1652EF3E" w14:textId="77777777" w:rsidTr="00BF4B86">
        <w:trPr>
          <w:trHeight w:val="512"/>
          <w:jc w:val="center"/>
        </w:trPr>
        <w:tc>
          <w:tcPr>
            <w:tcW w:w="2340" w:type="dxa"/>
            <w:shd w:val="clear" w:color="auto" w:fill="auto"/>
            <w:tcMar>
              <w:top w:w="0" w:type="dxa"/>
              <w:left w:w="30" w:type="dxa"/>
              <w:bottom w:w="0" w:type="dxa"/>
              <w:right w:w="30" w:type="dxa"/>
            </w:tcMar>
            <w:vAlign w:val="bottom"/>
            <w:hideMark/>
          </w:tcPr>
          <w:p w14:paraId="06DCA40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PhysicallyAbused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C_ReactiveProtein_avg</w:t>
            </w:r>
            <w:proofErr w:type="spellEnd"/>
          </w:p>
        </w:tc>
        <w:tc>
          <w:tcPr>
            <w:tcW w:w="720" w:type="dxa"/>
            <w:shd w:val="clear" w:color="auto" w:fill="auto"/>
            <w:tcMar>
              <w:top w:w="0" w:type="dxa"/>
              <w:left w:w="30" w:type="dxa"/>
              <w:bottom w:w="0" w:type="dxa"/>
              <w:right w:w="30" w:type="dxa"/>
            </w:tcMar>
            <w:vAlign w:val="center"/>
          </w:tcPr>
          <w:p w14:paraId="598CB7D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-0.0136</w:t>
            </w:r>
          </w:p>
        </w:tc>
        <w:tc>
          <w:tcPr>
            <w:tcW w:w="810" w:type="dxa"/>
            <w:shd w:val="clear" w:color="auto" w:fill="auto"/>
            <w:tcMar>
              <w:top w:w="0" w:type="dxa"/>
              <w:left w:w="30" w:type="dxa"/>
              <w:bottom w:w="0" w:type="dxa"/>
              <w:right w:w="30" w:type="dxa"/>
            </w:tcMar>
            <w:vAlign w:val="center"/>
            <w:hideMark/>
          </w:tcPr>
          <w:p w14:paraId="0676A30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0.0043</w:t>
            </w:r>
          </w:p>
        </w:tc>
        <w:tc>
          <w:tcPr>
            <w:tcW w:w="630" w:type="dxa"/>
            <w:tcBorders>
              <w:top w:val="nil"/>
              <w:left w:val="nil"/>
              <w:bottom w:val="nil"/>
              <w:right w:val="nil"/>
            </w:tcBorders>
            <w:shd w:val="clear" w:color="auto" w:fill="auto"/>
            <w:tcMar>
              <w:top w:w="0" w:type="dxa"/>
              <w:left w:w="30" w:type="dxa"/>
              <w:bottom w:w="0" w:type="dxa"/>
              <w:right w:w="30" w:type="dxa"/>
            </w:tcMar>
            <w:vAlign w:val="center"/>
          </w:tcPr>
          <w:p w14:paraId="105831A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-3.168</w:t>
            </w:r>
          </w:p>
        </w:tc>
        <w:tc>
          <w:tcPr>
            <w:tcW w:w="810" w:type="dxa"/>
            <w:tcBorders>
              <w:right w:val="double" w:sz="4" w:space="0" w:color="auto"/>
            </w:tcBorders>
            <w:shd w:val="clear" w:color="auto" w:fill="auto"/>
            <w:tcMar>
              <w:top w:w="0" w:type="dxa"/>
              <w:left w:w="30" w:type="dxa"/>
              <w:bottom w:w="0" w:type="dxa"/>
              <w:right w:w="30" w:type="dxa"/>
            </w:tcMar>
            <w:vAlign w:val="center"/>
            <w:hideMark/>
          </w:tcPr>
          <w:p w14:paraId="2275E12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0.002</w:t>
            </w:r>
          </w:p>
        </w:tc>
        <w:tc>
          <w:tcPr>
            <w:tcW w:w="720" w:type="dxa"/>
            <w:tcBorders>
              <w:left w:val="double" w:sz="4" w:space="0" w:color="auto"/>
            </w:tcBorders>
            <w:shd w:val="clear" w:color="auto" w:fill="auto"/>
            <w:vAlign w:val="center"/>
          </w:tcPr>
          <w:p w14:paraId="1F4AACC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-0.0135</w:t>
            </w:r>
          </w:p>
        </w:tc>
        <w:tc>
          <w:tcPr>
            <w:tcW w:w="900" w:type="dxa"/>
            <w:shd w:val="clear" w:color="auto" w:fill="auto"/>
            <w:vAlign w:val="center"/>
          </w:tcPr>
          <w:p w14:paraId="0ED3C09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0.0044</w:t>
            </w:r>
          </w:p>
        </w:tc>
        <w:tc>
          <w:tcPr>
            <w:tcW w:w="720" w:type="dxa"/>
            <w:shd w:val="clear" w:color="auto" w:fill="auto"/>
            <w:vAlign w:val="center"/>
          </w:tcPr>
          <w:p w14:paraId="6C910AD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-3.035</w:t>
            </w:r>
          </w:p>
        </w:tc>
        <w:tc>
          <w:tcPr>
            <w:tcW w:w="720" w:type="dxa"/>
            <w:shd w:val="clear" w:color="auto" w:fill="auto"/>
            <w:vAlign w:val="center"/>
          </w:tcPr>
          <w:p w14:paraId="1359E91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0.002</w:t>
            </w:r>
          </w:p>
        </w:tc>
        <w:tc>
          <w:tcPr>
            <w:tcW w:w="810" w:type="dxa"/>
            <w:gridSpan w:val="2"/>
            <w:shd w:val="clear" w:color="auto" w:fill="auto"/>
            <w:vAlign w:val="center"/>
          </w:tcPr>
          <w:p w14:paraId="7B4F20E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shd w:val="clear" w:color="auto" w:fill="auto"/>
            <w:vAlign w:val="center"/>
          </w:tcPr>
          <w:p w14:paraId="25ADC45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0BD5CD48" w14:textId="77777777" w:rsidTr="00BF4B86">
        <w:trPr>
          <w:trHeight w:val="205"/>
          <w:jc w:val="center"/>
        </w:trPr>
        <w:tc>
          <w:tcPr>
            <w:tcW w:w="2340" w:type="dxa"/>
            <w:tcBorders>
              <w:top w:val="nil"/>
              <w:left w:val="nil"/>
              <w:bottom w:val="nil"/>
              <w:right w:val="nil"/>
            </w:tcBorders>
            <w:shd w:val="clear" w:color="auto" w:fill="auto"/>
            <w:vAlign w:val="bottom"/>
            <w:hideMark/>
          </w:tcPr>
          <w:p w14:paraId="06B0CDA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SexuallyAbused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C_ReactiveProtein_avg</w:t>
            </w:r>
            <w:proofErr w:type="spellEnd"/>
          </w:p>
        </w:tc>
        <w:tc>
          <w:tcPr>
            <w:tcW w:w="720" w:type="dxa"/>
            <w:tcBorders>
              <w:top w:val="nil"/>
              <w:left w:val="nil"/>
              <w:bottom w:val="nil"/>
              <w:right w:val="nil"/>
            </w:tcBorders>
            <w:shd w:val="clear" w:color="auto" w:fill="auto"/>
            <w:vAlign w:val="center"/>
          </w:tcPr>
          <w:p w14:paraId="47CD647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-0.0183</w:t>
            </w:r>
          </w:p>
        </w:tc>
        <w:tc>
          <w:tcPr>
            <w:tcW w:w="810" w:type="dxa"/>
            <w:tcBorders>
              <w:top w:val="nil"/>
              <w:left w:val="nil"/>
              <w:bottom w:val="nil"/>
              <w:right w:val="nil"/>
            </w:tcBorders>
            <w:shd w:val="clear" w:color="auto" w:fill="auto"/>
            <w:vAlign w:val="center"/>
            <w:hideMark/>
          </w:tcPr>
          <w:p w14:paraId="2D9508C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0.0062</w:t>
            </w:r>
          </w:p>
        </w:tc>
        <w:tc>
          <w:tcPr>
            <w:tcW w:w="630" w:type="dxa"/>
            <w:tcBorders>
              <w:top w:val="nil"/>
              <w:left w:val="nil"/>
              <w:bottom w:val="nil"/>
              <w:right w:val="nil"/>
            </w:tcBorders>
            <w:shd w:val="clear" w:color="auto" w:fill="auto"/>
            <w:vAlign w:val="center"/>
          </w:tcPr>
          <w:p w14:paraId="497F377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-2.957</w:t>
            </w:r>
          </w:p>
        </w:tc>
        <w:tc>
          <w:tcPr>
            <w:tcW w:w="810" w:type="dxa"/>
            <w:tcBorders>
              <w:top w:val="nil"/>
              <w:left w:val="nil"/>
              <w:bottom w:val="nil"/>
              <w:right w:val="double" w:sz="4" w:space="0" w:color="auto"/>
            </w:tcBorders>
            <w:shd w:val="clear" w:color="auto" w:fill="auto"/>
            <w:vAlign w:val="center"/>
            <w:hideMark/>
          </w:tcPr>
          <w:p w14:paraId="3080141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0.003</w:t>
            </w:r>
          </w:p>
        </w:tc>
        <w:tc>
          <w:tcPr>
            <w:tcW w:w="720" w:type="dxa"/>
            <w:tcBorders>
              <w:top w:val="nil"/>
              <w:left w:val="double" w:sz="4" w:space="0" w:color="auto"/>
              <w:bottom w:val="nil"/>
              <w:right w:val="nil"/>
            </w:tcBorders>
            <w:shd w:val="clear" w:color="auto" w:fill="auto"/>
            <w:vAlign w:val="center"/>
          </w:tcPr>
          <w:p w14:paraId="3C8FAF3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-0.0156</w:t>
            </w:r>
          </w:p>
        </w:tc>
        <w:tc>
          <w:tcPr>
            <w:tcW w:w="900" w:type="dxa"/>
            <w:tcBorders>
              <w:top w:val="nil"/>
              <w:left w:val="nil"/>
              <w:bottom w:val="nil"/>
              <w:right w:val="nil"/>
            </w:tcBorders>
            <w:shd w:val="clear" w:color="auto" w:fill="auto"/>
            <w:vAlign w:val="center"/>
          </w:tcPr>
          <w:p w14:paraId="6F41AA4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0.0063</w:t>
            </w:r>
          </w:p>
        </w:tc>
        <w:tc>
          <w:tcPr>
            <w:tcW w:w="720" w:type="dxa"/>
            <w:tcBorders>
              <w:top w:val="nil"/>
              <w:left w:val="nil"/>
              <w:bottom w:val="nil"/>
              <w:right w:val="nil"/>
            </w:tcBorders>
            <w:shd w:val="clear" w:color="auto" w:fill="auto"/>
            <w:vAlign w:val="center"/>
          </w:tcPr>
          <w:p w14:paraId="452EECD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-2.476</w:t>
            </w:r>
          </w:p>
        </w:tc>
        <w:tc>
          <w:tcPr>
            <w:tcW w:w="720" w:type="dxa"/>
            <w:tcBorders>
              <w:top w:val="nil"/>
              <w:left w:val="nil"/>
              <w:bottom w:val="nil"/>
              <w:right w:val="nil"/>
            </w:tcBorders>
            <w:shd w:val="clear" w:color="auto" w:fill="auto"/>
            <w:vAlign w:val="center"/>
          </w:tcPr>
          <w:p w14:paraId="3441D09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0.013</w:t>
            </w:r>
          </w:p>
        </w:tc>
        <w:tc>
          <w:tcPr>
            <w:tcW w:w="810" w:type="dxa"/>
            <w:gridSpan w:val="2"/>
            <w:tcBorders>
              <w:top w:val="nil"/>
              <w:left w:val="nil"/>
              <w:bottom w:val="nil"/>
              <w:right w:val="nil"/>
            </w:tcBorders>
            <w:shd w:val="clear" w:color="auto" w:fill="auto"/>
            <w:vAlign w:val="center"/>
          </w:tcPr>
          <w:p w14:paraId="5BEC502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13CBC87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674DB627" w14:textId="77777777" w:rsidTr="00BF4B86">
        <w:trPr>
          <w:trHeight w:val="205"/>
          <w:jc w:val="center"/>
        </w:trPr>
        <w:tc>
          <w:tcPr>
            <w:tcW w:w="2340" w:type="dxa"/>
            <w:tcBorders>
              <w:top w:val="nil"/>
              <w:left w:val="nil"/>
              <w:bottom w:val="nil"/>
              <w:right w:val="nil"/>
            </w:tcBorders>
            <w:shd w:val="clear" w:color="auto" w:fill="auto"/>
            <w:vAlign w:val="bottom"/>
          </w:tcPr>
          <w:p w14:paraId="2430ED0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r w:rsidRPr="00CD2F5C">
              <w:rPr>
                <w:rFonts w:ascii="Cambria" w:eastAsia="Calibri" w:hAnsi="Cambria" w:cstheme="minorHAnsi"/>
                <w:b/>
                <w:bCs/>
                <w:sz w:val="24"/>
                <w:szCs w:val="24"/>
              </w:rPr>
              <w:t xml:space="preserve">TakenToDoctorIfNeeded X </w:t>
            </w:r>
            <w:proofErr w:type="spellStart"/>
            <w:r w:rsidRPr="00CD2F5C">
              <w:rPr>
                <w:rFonts w:ascii="Cambria" w:eastAsia="Calibri" w:hAnsi="Cambria" w:cstheme="minorHAnsi"/>
                <w:b/>
                <w:bCs/>
                <w:sz w:val="24"/>
                <w:szCs w:val="24"/>
              </w:rPr>
              <w:lastRenderedPageBreak/>
              <w:t>C_ReactiveProtein_avg</w:t>
            </w:r>
            <w:proofErr w:type="spellEnd"/>
          </w:p>
        </w:tc>
        <w:tc>
          <w:tcPr>
            <w:tcW w:w="720" w:type="dxa"/>
            <w:tcBorders>
              <w:top w:val="nil"/>
              <w:left w:val="nil"/>
              <w:bottom w:val="nil"/>
              <w:right w:val="nil"/>
            </w:tcBorders>
            <w:shd w:val="clear" w:color="auto" w:fill="auto"/>
            <w:vAlign w:val="center"/>
          </w:tcPr>
          <w:p w14:paraId="0402871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lastRenderedPageBreak/>
              <w:t>0.0083</w:t>
            </w:r>
          </w:p>
        </w:tc>
        <w:tc>
          <w:tcPr>
            <w:tcW w:w="810" w:type="dxa"/>
            <w:tcBorders>
              <w:top w:val="nil"/>
              <w:left w:val="nil"/>
              <w:bottom w:val="nil"/>
              <w:right w:val="nil"/>
            </w:tcBorders>
            <w:shd w:val="clear" w:color="auto" w:fill="auto"/>
            <w:vAlign w:val="center"/>
          </w:tcPr>
          <w:p w14:paraId="7004DA1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0.0036</w:t>
            </w:r>
          </w:p>
        </w:tc>
        <w:tc>
          <w:tcPr>
            <w:tcW w:w="630" w:type="dxa"/>
            <w:tcBorders>
              <w:top w:val="nil"/>
              <w:left w:val="nil"/>
              <w:bottom w:val="nil"/>
              <w:right w:val="nil"/>
            </w:tcBorders>
            <w:shd w:val="clear" w:color="auto" w:fill="auto"/>
            <w:vAlign w:val="center"/>
          </w:tcPr>
          <w:p w14:paraId="052E82D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2.291</w:t>
            </w:r>
          </w:p>
        </w:tc>
        <w:tc>
          <w:tcPr>
            <w:tcW w:w="810" w:type="dxa"/>
            <w:tcBorders>
              <w:top w:val="nil"/>
              <w:left w:val="nil"/>
              <w:bottom w:val="nil"/>
              <w:right w:val="double" w:sz="4" w:space="0" w:color="auto"/>
            </w:tcBorders>
            <w:shd w:val="clear" w:color="auto" w:fill="auto"/>
            <w:vAlign w:val="center"/>
          </w:tcPr>
          <w:p w14:paraId="645D27B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0.022</w:t>
            </w:r>
          </w:p>
        </w:tc>
        <w:tc>
          <w:tcPr>
            <w:tcW w:w="720" w:type="dxa"/>
            <w:tcBorders>
              <w:top w:val="nil"/>
              <w:left w:val="double" w:sz="4" w:space="0" w:color="auto"/>
              <w:bottom w:val="nil"/>
              <w:right w:val="nil"/>
            </w:tcBorders>
            <w:shd w:val="clear" w:color="auto" w:fill="auto"/>
            <w:vAlign w:val="center"/>
          </w:tcPr>
          <w:p w14:paraId="64C9CCF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0.0066</w:t>
            </w:r>
          </w:p>
        </w:tc>
        <w:tc>
          <w:tcPr>
            <w:tcW w:w="900" w:type="dxa"/>
            <w:tcBorders>
              <w:top w:val="nil"/>
              <w:left w:val="nil"/>
              <w:bottom w:val="nil"/>
              <w:right w:val="nil"/>
            </w:tcBorders>
            <w:shd w:val="clear" w:color="auto" w:fill="auto"/>
            <w:vAlign w:val="center"/>
          </w:tcPr>
          <w:p w14:paraId="2CC8AA4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0.0037</w:t>
            </w:r>
          </w:p>
        </w:tc>
        <w:tc>
          <w:tcPr>
            <w:tcW w:w="720" w:type="dxa"/>
            <w:tcBorders>
              <w:top w:val="nil"/>
              <w:left w:val="nil"/>
              <w:bottom w:val="nil"/>
              <w:right w:val="nil"/>
            </w:tcBorders>
            <w:shd w:val="clear" w:color="auto" w:fill="auto"/>
            <w:vAlign w:val="center"/>
          </w:tcPr>
          <w:p w14:paraId="2939F08A"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1.764</w:t>
            </w:r>
          </w:p>
        </w:tc>
        <w:tc>
          <w:tcPr>
            <w:tcW w:w="720" w:type="dxa"/>
            <w:tcBorders>
              <w:top w:val="nil"/>
              <w:left w:val="nil"/>
              <w:bottom w:val="nil"/>
              <w:right w:val="nil"/>
            </w:tcBorders>
            <w:shd w:val="clear" w:color="auto" w:fill="auto"/>
            <w:vAlign w:val="center"/>
          </w:tcPr>
          <w:p w14:paraId="2ECDAA3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0.078</w:t>
            </w:r>
          </w:p>
        </w:tc>
        <w:tc>
          <w:tcPr>
            <w:tcW w:w="810" w:type="dxa"/>
            <w:gridSpan w:val="2"/>
            <w:tcBorders>
              <w:top w:val="nil"/>
              <w:left w:val="nil"/>
              <w:bottom w:val="nil"/>
              <w:right w:val="nil"/>
            </w:tcBorders>
            <w:shd w:val="clear" w:color="auto" w:fill="auto"/>
            <w:vAlign w:val="center"/>
          </w:tcPr>
          <w:p w14:paraId="2306B4E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5357B87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40829D64" w14:textId="77777777" w:rsidTr="00BF4B86">
        <w:trPr>
          <w:trHeight w:val="205"/>
          <w:jc w:val="center"/>
        </w:trPr>
        <w:tc>
          <w:tcPr>
            <w:tcW w:w="2340" w:type="dxa"/>
            <w:tcBorders>
              <w:top w:val="nil"/>
              <w:left w:val="nil"/>
              <w:bottom w:val="nil"/>
              <w:right w:val="nil"/>
            </w:tcBorders>
            <w:shd w:val="clear" w:color="auto" w:fill="auto"/>
            <w:vAlign w:val="bottom"/>
          </w:tcPr>
          <w:p w14:paraId="2B51E41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PhysicallyAbused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SexuallyAbused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C_ReactiveProtein_avg</w:t>
            </w:r>
            <w:proofErr w:type="spellEnd"/>
          </w:p>
        </w:tc>
        <w:tc>
          <w:tcPr>
            <w:tcW w:w="720" w:type="dxa"/>
            <w:tcBorders>
              <w:top w:val="nil"/>
              <w:left w:val="nil"/>
              <w:bottom w:val="nil"/>
              <w:right w:val="nil"/>
            </w:tcBorders>
            <w:shd w:val="clear" w:color="auto" w:fill="auto"/>
            <w:vAlign w:val="center"/>
          </w:tcPr>
          <w:p w14:paraId="7FA80BB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0.0196</w:t>
            </w:r>
          </w:p>
        </w:tc>
        <w:tc>
          <w:tcPr>
            <w:tcW w:w="810" w:type="dxa"/>
            <w:tcBorders>
              <w:top w:val="nil"/>
              <w:left w:val="nil"/>
              <w:bottom w:val="nil"/>
              <w:right w:val="nil"/>
            </w:tcBorders>
            <w:shd w:val="clear" w:color="auto" w:fill="auto"/>
            <w:vAlign w:val="center"/>
          </w:tcPr>
          <w:p w14:paraId="6CD7332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0.0044</w:t>
            </w:r>
          </w:p>
        </w:tc>
        <w:tc>
          <w:tcPr>
            <w:tcW w:w="630" w:type="dxa"/>
            <w:tcBorders>
              <w:top w:val="nil"/>
              <w:left w:val="nil"/>
              <w:bottom w:val="nil"/>
              <w:right w:val="nil"/>
            </w:tcBorders>
            <w:shd w:val="clear" w:color="auto" w:fill="auto"/>
            <w:vAlign w:val="center"/>
          </w:tcPr>
          <w:p w14:paraId="16D1D20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4.502</w:t>
            </w:r>
          </w:p>
        </w:tc>
        <w:tc>
          <w:tcPr>
            <w:tcW w:w="810" w:type="dxa"/>
            <w:tcBorders>
              <w:top w:val="nil"/>
              <w:left w:val="nil"/>
              <w:bottom w:val="nil"/>
              <w:right w:val="double" w:sz="4" w:space="0" w:color="auto"/>
            </w:tcBorders>
            <w:shd w:val="clear" w:color="auto" w:fill="auto"/>
            <w:vAlign w:val="center"/>
          </w:tcPr>
          <w:p w14:paraId="0A74452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top w:val="nil"/>
              <w:left w:val="double" w:sz="4" w:space="0" w:color="auto"/>
              <w:bottom w:val="nil"/>
              <w:right w:val="nil"/>
            </w:tcBorders>
            <w:shd w:val="clear" w:color="auto" w:fill="auto"/>
            <w:vAlign w:val="center"/>
          </w:tcPr>
          <w:p w14:paraId="298E538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0.0172</w:t>
            </w:r>
          </w:p>
        </w:tc>
        <w:tc>
          <w:tcPr>
            <w:tcW w:w="900" w:type="dxa"/>
            <w:tcBorders>
              <w:top w:val="nil"/>
              <w:left w:val="nil"/>
              <w:bottom w:val="nil"/>
              <w:right w:val="nil"/>
            </w:tcBorders>
            <w:shd w:val="clear" w:color="auto" w:fill="auto"/>
            <w:vAlign w:val="center"/>
          </w:tcPr>
          <w:p w14:paraId="5427DBE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0.0045</w:t>
            </w:r>
          </w:p>
        </w:tc>
        <w:tc>
          <w:tcPr>
            <w:tcW w:w="720" w:type="dxa"/>
            <w:tcBorders>
              <w:top w:val="nil"/>
              <w:left w:val="nil"/>
              <w:bottom w:val="nil"/>
              <w:right w:val="nil"/>
            </w:tcBorders>
            <w:shd w:val="clear" w:color="auto" w:fill="auto"/>
            <w:vAlign w:val="center"/>
          </w:tcPr>
          <w:p w14:paraId="182D0A8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3.808</w:t>
            </w:r>
          </w:p>
        </w:tc>
        <w:tc>
          <w:tcPr>
            <w:tcW w:w="720" w:type="dxa"/>
            <w:tcBorders>
              <w:top w:val="nil"/>
              <w:left w:val="nil"/>
              <w:bottom w:val="nil"/>
              <w:right w:val="nil"/>
            </w:tcBorders>
            <w:shd w:val="clear" w:color="auto" w:fill="auto"/>
            <w:vAlign w:val="center"/>
          </w:tcPr>
          <w:p w14:paraId="12F9F1C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tcBorders>
              <w:top w:val="nil"/>
              <w:left w:val="nil"/>
              <w:bottom w:val="nil"/>
              <w:right w:val="nil"/>
            </w:tcBorders>
            <w:shd w:val="clear" w:color="auto" w:fill="auto"/>
            <w:vAlign w:val="center"/>
          </w:tcPr>
          <w:p w14:paraId="19BD282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08B91C6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5CD0F104" w14:textId="77777777" w:rsidTr="00BF4B86">
        <w:trPr>
          <w:trHeight w:val="205"/>
          <w:jc w:val="center"/>
        </w:trPr>
        <w:tc>
          <w:tcPr>
            <w:tcW w:w="2340" w:type="dxa"/>
            <w:tcBorders>
              <w:top w:val="nil"/>
              <w:left w:val="nil"/>
              <w:bottom w:val="nil"/>
              <w:right w:val="nil"/>
            </w:tcBorders>
            <w:shd w:val="clear" w:color="auto" w:fill="auto"/>
            <w:vAlign w:val="bottom"/>
          </w:tcPr>
          <w:p w14:paraId="6DDCCB3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ProfessionalInfoAnxietyNo</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FeltHated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C_ReactiveProtein_avg</w:t>
            </w:r>
            <w:proofErr w:type="spellEnd"/>
          </w:p>
        </w:tc>
        <w:tc>
          <w:tcPr>
            <w:tcW w:w="720" w:type="dxa"/>
            <w:tcBorders>
              <w:top w:val="nil"/>
              <w:left w:val="nil"/>
              <w:bottom w:val="nil"/>
              <w:right w:val="nil"/>
            </w:tcBorders>
            <w:shd w:val="clear" w:color="auto" w:fill="auto"/>
            <w:vAlign w:val="center"/>
          </w:tcPr>
          <w:p w14:paraId="4A6DA8B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0.0029</w:t>
            </w:r>
          </w:p>
        </w:tc>
        <w:tc>
          <w:tcPr>
            <w:tcW w:w="810" w:type="dxa"/>
            <w:tcBorders>
              <w:top w:val="nil"/>
              <w:left w:val="nil"/>
              <w:bottom w:val="nil"/>
              <w:right w:val="nil"/>
            </w:tcBorders>
            <w:shd w:val="clear" w:color="auto" w:fill="auto"/>
            <w:vAlign w:val="center"/>
          </w:tcPr>
          <w:p w14:paraId="6BED7DB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0.0046</w:t>
            </w:r>
          </w:p>
        </w:tc>
        <w:tc>
          <w:tcPr>
            <w:tcW w:w="630" w:type="dxa"/>
            <w:tcBorders>
              <w:top w:val="nil"/>
              <w:left w:val="nil"/>
              <w:right w:val="nil"/>
            </w:tcBorders>
            <w:shd w:val="clear" w:color="auto" w:fill="auto"/>
            <w:vAlign w:val="center"/>
          </w:tcPr>
          <w:p w14:paraId="10FCD98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0.633</w:t>
            </w:r>
          </w:p>
        </w:tc>
        <w:tc>
          <w:tcPr>
            <w:tcW w:w="810" w:type="dxa"/>
            <w:tcBorders>
              <w:top w:val="nil"/>
              <w:left w:val="nil"/>
              <w:bottom w:val="nil"/>
              <w:right w:val="double" w:sz="4" w:space="0" w:color="auto"/>
            </w:tcBorders>
            <w:shd w:val="clear" w:color="auto" w:fill="auto"/>
            <w:vAlign w:val="center"/>
          </w:tcPr>
          <w:p w14:paraId="4F3105CD"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0.527</w:t>
            </w:r>
          </w:p>
        </w:tc>
        <w:tc>
          <w:tcPr>
            <w:tcW w:w="720" w:type="dxa"/>
            <w:tcBorders>
              <w:top w:val="nil"/>
              <w:left w:val="double" w:sz="4" w:space="0" w:color="auto"/>
              <w:bottom w:val="nil"/>
              <w:right w:val="nil"/>
            </w:tcBorders>
            <w:shd w:val="clear" w:color="auto" w:fill="auto"/>
            <w:vAlign w:val="center"/>
          </w:tcPr>
          <w:p w14:paraId="26B85E7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0.0023</w:t>
            </w:r>
          </w:p>
        </w:tc>
        <w:tc>
          <w:tcPr>
            <w:tcW w:w="900" w:type="dxa"/>
            <w:tcBorders>
              <w:top w:val="nil"/>
              <w:left w:val="nil"/>
              <w:bottom w:val="nil"/>
              <w:right w:val="nil"/>
            </w:tcBorders>
            <w:shd w:val="clear" w:color="auto" w:fill="auto"/>
            <w:vAlign w:val="center"/>
          </w:tcPr>
          <w:p w14:paraId="0A0BEE2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0.0047</w:t>
            </w:r>
          </w:p>
        </w:tc>
        <w:tc>
          <w:tcPr>
            <w:tcW w:w="720" w:type="dxa"/>
            <w:tcBorders>
              <w:top w:val="nil"/>
              <w:left w:val="nil"/>
              <w:bottom w:val="nil"/>
              <w:right w:val="nil"/>
            </w:tcBorders>
            <w:shd w:val="clear" w:color="auto" w:fill="auto"/>
            <w:vAlign w:val="center"/>
          </w:tcPr>
          <w:p w14:paraId="06BBB3C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0.490</w:t>
            </w:r>
          </w:p>
        </w:tc>
        <w:tc>
          <w:tcPr>
            <w:tcW w:w="720" w:type="dxa"/>
            <w:tcBorders>
              <w:top w:val="nil"/>
              <w:left w:val="nil"/>
              <w:bottom w:val="nil"/>
              <w:right w:val="nil"/>
            </w:tcBorders>
            <w:shd w:val="clear" w:color="auto" w:fill="auto"/>
            <w:vAlign w:val="center"/>
          </w:tcPr>
          <w:p w14:paraId="69ED4EF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0.624</w:t>
            </w:r>
          </w:p>
        </w:tc>
        <w:tc>
          <w:tcPr>
            <w:tcW w:w="810" w:type="dxa"/>
            <w:gridSpan w:val="2"/>
            <w:tcBorders>
              <w:top w:val="nil"/>
              <w:left w:val="nil"/>
              <w:right w:val="nil"/>
            </w:tcBorders>
            <w:shd w:val="clear" w:color="auto" w:fill="auto"/>
            <w:vAlign w:val="center"/>
          </w:tcPr>
          <w:p w14:paraId="4FFBE40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right w:val="nil"/>
            </w:tcBorders>
            <w:shd w:val="clear" w:color="auto" w:fill="auto"/>
            <w:vAlign w:val="center"/>
          </w:tcPr>
          <w:p w14:paraId="0D67A92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6EDB944A" w14:textId="77777777" w:rsidTr="00BF4B86">
        <w:trPr>
          <w:trHeight w:val="205"/>
          <w:jc w:val="center"/>
        </w:trPr>
        <w:tc>
          <w:tcPr>
            <w:tcW w:w="2340" w:type="dxa"/>
            <w:tcBorders>
              <w:top w:val="nil"/>
              <w:left w:val="nil"/>
              <w:bottom w:val="nil"/>
              <w:right w:val="nil"/>
            </w:tcBorders>
            <w:shd w:val="clear" w:color="auto" w:fill="auto"/>
            <w:vAlign w:val="bottom"/>
          </w:tcPr>
          <w:p w14:paraId="56BB1AF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ProfessionalInfoAnxietyYes</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FeltHated</w:t>
            </w:r>
            <w:proofErr w:type="spellEnd"/>
            <w:r w:rsidRPr="00CD2F5C">
              <w:rPr>
                <w:rFonts w:ascii="Cambria" w:eastAsia="Calibri" w:hAnsi="Cambria" w:cstheme="minorHAnsi"/>
                <w:b/>
                <w:bCs/>
                <w:sz w:val="24"/>
                <w:szCs w:val="24"/>
              </w:rPr>
              <w:t xml:space="preserve"> X </w:t>
            </w:r>
            <w:proofErr w:type="spellStart"/>
            <w:r w:rsidRPr="00CD2F5C">
              <w:rPr>
                <w:rFonts w:ascii="Cambria" w:eastAsia="Calibri" w:hAnsi="Cambria" w:cstheme="minorHAnsi"/>
                <w:b/>
                <w:bCs/>
                <w:sz w:val="24"/>
                <w:szCs w:val="24"/>
              </w:rPr>
              <w:t>C_ReactiveProtein_avg</w:t>
            </w:r>
            <w:proofErr w:type="spellEnd"/>
          </w:p>
        </w:tc>
        <w:tc>
          <w:tcPr>
            <w:tcW w:w="720" w:type="dxa"/>
            <w:tcBorders>
              <w:top w:val="nil"/>
              <w:left w:val="nil"/>
              <w:bottom w:val="nil"/>
              <w:right w:val="nil"/>
            </w:tcBorders>
            <w:shd w:val="clear" w:color="auto" w:fill="auto"/>
            <w:vAlign w:val="center"/>
          </w:tcPr>
          <w:p w14:paraId="630660E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-0.0174</w:t>
            </w:r>
          </w:p>
        </w:tc>
        <w:tc>
          <w:tcPr>
            <w:tcW w:w="810" w:type="dxa"/>
            <w:tcBorders>
              <w:top w:val="nil"/>
              <w:left w:val="nil"/>
              <w:bottom w:val="nil"/>
              <w:right w:val="nil"/>
            </w:tcBorders>
            <w:shd w:val="clear" w:color="auto" w:fill="auto"/>
            <w:vAlign w:val="center"/>
          </w:tcPr>
          <w:p w14:paraId="06BF67D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0.0046</w:t>
            </w:r>
          </w:p>
        </w:tc>
        <w:tc>
          <w:tcPr>
            <w:tcW w:w="630" w:type="dxa"/>
            <w:tcBorders>
              <w:top w:val="nil"/>
              <w:left w:val="nil"/>
              <w:bottom w:val="nil"/>
              <w:right w:val="nil"/>
            </w:tcBorders>
            <w:shd w:val="clear" w:color="auto" w:fill="auto"/>
            <w:vAlign w:val="center"/>
          </w:tcPr>
          <w:p w14:paraId="77FF5D3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-3.750</w:t>
            </w:r>
          </w:p>
        </w:tc>
        <w:tc>
          <w:tcPr>
            <w:tcW w:w="810" w:type="dxa"/>
            <w:tcBorders>
              <w:top w:val="nil"/>
              <w:left w:val="nil"/>
              <w:bottom w:val="nil"/>
              <w:right w:val="double" w:sz="4" w:space="0" w:color="auto"/>
            </w:tcBorders>
            <w:shd w:val="clear" w:color="auto" w:fill="auto"/>
            <w:vAlign w:val="center"/>
          </w:tcPr>
          <w:p w14:paraId="1AA9384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720" w:type="dxa"/>
            <w:tcBorders>
              <w:top w:val="nil"/>
              <w:left w:val="double" w:sz="4" w:space="0" w:color="auto"/>
              <w:bottom w:val="nil"/>
              <w:right w:val="nil"/>
            </w:tcBorders>
            <w:shd w:val="clear" w:color="auto" w:fill="auto"/>
            <w:vAlign w:val="center"/>
          </w:tcPr>
          <w:p w14:paraId="68E1593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-0.0171</w:t>
            </w:r>
          </w:p>
        </w:tc>
        <w:tc>
          <w:tcPr>
            <w:tcW w:w="900" w:type="dxa"/>
            <w:tcBorders>
              <w:top w:val="nil"/>
              <w:left w:val="nil"/>
              <w:bottom w:val="nil"/>
              <w:right w:val="nil"/>
            </w:tcBorders>
            <w:shd w:val="clear" w:color="auto" w:fill="auto"/>
            <w:vAlign w:val="center"/>
          </w:tcPr>
          <w:p w14:paraId="2828166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0.0049</w:t>
            </w:r>
          </w:p>
        </w:tc>
        <w:tc>
          <w:tcPr>
            <w:tcW w:w="720" w:type="dxa"/>
            <w:tcBorders>
              <w:top w:val="nil"/>
              <w:left w:val="nil"/>
              <w:bottom w:val="nil"/>
              <w:right w:val="nil"/>
            </w:tcBorders>
            <w:shd w:val="clear" w:color="auto" w:fill="auto"/>
            <w:vAlign w:val="center"/>
          </w:tcPr>
          <w:p w14:paraId="24F13B1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-3.491</w:t>
            </w:r>
          </w:p>
        </w:tc>
        <w:tc>
          <w:tcPr>
            <w:tcW w:w="720" w:type="dxa"/>
            <w:tcBorders>
              <w:top w:val="nil"/>
              <w:left w:val="nil"/>
              <w:bottom w:val="nil"/>
              <w:right w:val="nil"/>
            </w:tcBorders>
            <w:shd w:val="clear" w:color="auto" w:fill="auto"/>
            <w:vAlign w:val="center"/>
          </w:tcPr>
          <w:p w14:paraId="55741BD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&lt; 0.001</w:t>
            </w:r>
          </w:p>
        </w:tc>
        <w:tc>
          <w:tcPr>
            <w:tcW w:w="810" w:type="dxa"/>
            <w:gridSpan w:val="2"/>
            <w:tcBorders>
              <w:top w:val="nil"/>
              <w:left w:val="nil"/>
              <w:bottom w:val="nil"/>
              <w:right w:val="nil"/>
            </w:tcBorders>
            <w:shd w:val="clear" w:color="auto" w:fill="auto"/>
            <w:vAlign w:val="center"/>
          </w:tcPr>
          <w:p w14:paraId="625C31E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05F3A3B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3FC61895" w14:textId="77777777" w:rsidTr="00BF4B86">
        <w:trPr>
          <w:trHeight w:val="205"/>
          <w:jc w:val="center"/>
        </w:trPr>
        <w:tc>
          <w:tcPr>
            <w:tcW w:w="2340" w:type="dxa"/>
            <w:tcBorders>
              <w:top w:val="nil"/>
              <w:left w:val="nil"/>
              <w:bottom w:val="nil"/>
              <w:right w:val="nil"/>
            </w:tcBorders>
            <w:shd w:val="clear" w:color="auto" w:fill="auto"/>
            <w:vAlign w:val="bottom"/>
          </w:tcPr>
          <w:p w14:paraId="78D4D6A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EverSmokedYes</w:t>
            </w:r>
            <w:proofErr w:type="spellEnd"/>
          </w:p>
        </w:tc>
        <w:tc>
          <w:tcPr>
            <w:tcW w:w="720" w:type="dxa"/>
            <w:tcBorders>
              <w:top w:val="nil"/>
              <w:left w:val="nil"/>
              <w:bottom w:val="nil"/>
              <w:right w:val="nil"/>
            </w:tcBorders>
            <w:shd w:val="clear" w:color="auto" w:fill="auto"/>
            <w:vAlign w:val="center"/>
          </w:tcPr>
          <w:p w14:paraId="183C144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nil"/>
              <w:right w:val="nil"/>
            </w:tcBorders>
            <w:shd w:val="clear" w:color="auto" w:fill="auto"/>
            <w:vAlign w:val="center"/>
          </w:tcPr>
          <w:p w14:paraId="53E367A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630" w:type="dxa"/>
            <w:tcBorders>
              <w:top w:val="nil"/>
              <w:left w:val="nil"/>
              <w:bottom w:val="nil"/>
              <w:right w:val="nil"/>
            </w:tcBorders>
            <w:shd w:val="clear" w:color="auto" w:fill="auto"/>
            <w:vAlign w:val="center"/>
          </w:tcPr>
          <w:p w14:paraId="560D16F0"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nil"/>
              <w:right w:val="double" w:sz="4" w:space="0" w:color="auto"/>
            </w:tcBorders>
            <w:shd w:val="clear" w:color="auto" w:fill="auto"/>
            <w:vAlign w:val="center"/>
          </w:tcPr>
          <w:p w14:paraId="4F35CCC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720" w:type="dxa"/>
            <w:tcBorders>
              <w:top w:val="nil"/>
              <w:left w:val="double" w:sz="4" w:space="0" w:color="auto"/>
              <w:bottom w:val="nil"/>
              <w:right w:val="nil"/>
            </w:tcBorders>
            <w:shd w:val="clear" w:color="auto" w:fill="auto"/>
            <w:vAlign w:val="center"/>
          </w:tcPr>
          <w:p w14:paraId="5DFDD51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-0.0100</w:t>
            </w:r>
          </w:p>
        </w:tc>
        <w:tc>
          <w:tcPr>
            <w:tcW w:w="900" w:type="dxa"/>
            <w:tcBorders>
              <w:top w:val="nil"/>
              <w:left w:val="nil"/>
              <w:bottom w:val="nil"/>
              <w:right w:val="nil"/>
            </w:tcBorders>
            <w:shd w:val="clear" w:color="auto" w:fill="auto"/>
            <w:vAlign w:val="center"/>
          </w:tcPr>
          <w:p w14:paraId="6DE4DBA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0.0283</w:t>
            </w:r>
          </w:p>
        </w:tc>
        <w:tc>
          <w:tcPr>
            <w:tcW w:w="720" w:type="dxa"/>
            <w:tcBorders>
              <w:top w:val="nil"/>
              <w:left w:val="nil"/>
              <w:bottom w:val="nil"/>
              <w:right w:val="nil"/>
            </w:tcBorders>
            <w:shd w:val="clear" w:color="auto" w:fill="auto"/>
            <w:vAlign w:val="center"/>
          </w:tcPr>
          <w:p w14:paraId="7FCB58A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-0.354</w:t>
            </w:r>
          </w:p>
        </w:tc>
        <w:tc>
          <w:tcPr>
            <w:tcW w:w="720" w:type="dxa"/>
            <w:tcBorders>
              <w:top w:val="nil"/>
              <w:left w:val="nil"/>
              <w:bottom w:val="nil"/>
              <w:right w:val="nil"/>
            </w:tcBorders>
            <w:shd w:val="clear" w:color="auto" w:fill="auto"/>
            <w:vAlign w:val="center"/>
          </w:tcPr>
          <w:p w14:paraId="3714E77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0.723</w:t>
            </w:r>
          </w:p>
        </w:tc>
        <w:tc>
          <w:tcPr>
            <w:tcW w:w="810" w:type="dxa"/>
            <w:gridSpan w:val="2"/>
            <w:tcBorders>
              <w:top w:val="nil"/>
              <w:left w:val="nil"/>
              <w:bottom w:val="nil"/>
              <w:right w:val="nil"/>
            </w:tcBorders>
            <w:shd w:val="clear" w:color="auto" w:fill="auto"/>
            <w:vAlign w:val="center"/>
          </w:tcPr>
          <w:p w14:paraId="3801AB1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330E1EF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6A45ED7C" w14:textId="77777777" w:rsidTr="00BF4B86">
        <w:trPr>
          <w:trHeight w:val="205"/>
          <w:jc w:val="center"/>
        </w:trPr>
        <w:tc>
          <w:tcPr>
            <w:tcW w:w="2340" w:type="dxa"/>
            <w:tcBorders>
              <w:top w:val="nil"/>
              <w:left w:val="nil"/>
              <w:bottom w:val="nil"/>
              <w:right w:val="nil"/>
            </w:tcBorders>
            <w:shd w:val="clear" w:color="auto" w:fill="auto"/>
            <w:vAlign w:val="bottom"/>
          </w:tcPr>
          <w:p w14:paraId="2DA9F0D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SexMale</w:t>
            </w:r>
            <w:proofErr w:type="spellEnd"/>
          </w:p>
        </w:tc>
        <w:tc>
          <w:tcPr>
            <w:tcW w:w="720" w:type="dxa"/>
            <w:tcBorders>
              <w:top w:val="nil"/>
              <w:left w:val="nil"/>
              <w:bottom w:val="nil"/>
              <w:right w:val="nil"/>
            </w:tcBorders>
            <w:shd w:val="clear" w:color="auto" w:fill="auto"/>
            <w:vAlign w:val="center"/>
          </w:tcPr>
          <w:p w14:paraId="6B88FA03"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nil"/>
              <w:right w:val="nil"/>
            </w:tcBorders>
            <w:shd w:val="clear" w:color="auto" w:fill="auto"/>
            <w:vAlign w:val="center"/>
          </w:tcPr>
          <w:p w14:paraId="00EC2EB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630" w:type="dxa"/>
            <w:tcBorders>
              <w:top w:val="nil"/>
              <w:left w:val="nil"/>
              <w:bottom w:val="nil"/>
              <w:right w:val="nil"/>
            </w:tcBorders>
            <w:shd w:val="clear" w:color="auto" w:fill="auto"/>
            <w:vAlign w:val="center"/>
          </w:tcPr>
          <w:p w14:paraId="7FC9E6F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nil"/>
              <w:right w:val="double" w:sz="4" w:space="0" w:color="auto"/>
            </w:tcBorders>
            <w:shd w:val="clear" w:color="auto" w:fill="auto"/>
            <w:vAlign w:val="center"/>
          </w:tcPr>
          <w:p w14:paraId="7FAF926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720" w:type="dxa"/>
            <w:tcBorders>
              <w:top w:val="nil"/>
              <w:left w:val="double" w:sz="4" w:space="0" w:color="auto"/>
              <w:bottom w:val="nil"/>
              <w:right w:val="nil"/>
            </w:tcBorders>
            <w:shd w:val="clear" w:color="auto" w:fill="auto"/>
            <w:vAlign w:val="center"/>
          </w:tcPr>
          <w:p w14:paraId="0D90C05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-0.0536</w:t>
            </w:r>
          </w:p>
        </w:tc>
        <w:tc>
          <w:tcPr>
            <w:tcW w:w="900" w:type="dxa"/>
            <w:tcBorders>
              <w:top w:val="nil"/>
              <w:left w:val="nil"/>
              <w:bottom w:val="nil"/>
              <w:right w:val="nil"/>
            </w:tcBorders>
            <w:shd w:val="clear" w:color="auto" w:fill="auto"/>
            <w:vAlign w:val="center"/>
          </w:tcPr>
          <w:p w14:paraId="0530206E"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0.0282</w:t>
            </w:r>
          </w:p>
        </w:tc>
        <w:tc>
          <w:tcPr>
            <w:tcW w:w="720" w:type="dxa"/>
            <w:tcBorders>
              <w:top w:val="nil"/>
              <w:left w:val="nil"/>
              <w:bottom w:val="nil"/>
              <w:right w:val="nil"/>
            </w:tcBorders>
            <w:shd w:val="clear" w:color="auto" w:fill="auto"/>
            <w:vAlign w:val="center"/>
          </w:tcPr>
          <w:p w14:paraId="2258C65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-1.902</w:t>
            </w:r>
          </w:p>
        </w:tc>
        <w:tc>
          <w:tcPr>
            <w:tcW w:w="720" w:type="dxa"/>
            <w:tcBorders>
              <w:top w:val="nil"/>
              <w:left w:val="nil"/>
              <w:bottom w:val="nil"/>
              <w:right w:val="nil"/>
            </w:tcBorders>
            <w:shd w:val="clear" w:color="auto" w:fill="auto"/>
            <w:vAlign w:val="center"/>
          </w:tcPr>
          <w:p w14:paraId="42BEFD0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0.057</w:t>
            </w:r>
          </w:p>
        </w:tc>
        <w:tc>
          <w:tcPr>
            <w:tcW w:w="810" w:type="dxa"/>
            <w:gridSpan w:val="2"/>
            <w:tcBorders>
              <w:top w:val="nil"/>
              <w:left w:val="nil"/>
              <w:bottom w:val="nil"/>
              <w:right w:val="nil"/>
            </w:tcBorders>
            <w:shd w:val="clear" w:color="auto" w:fill="auto"/>
            <w:vAlign w:val="center"/>
          </w:tcPr>
          <w:p w14:paraId="33FD0F0B"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0E36E04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509E0FE4" w14:textId="77777777" w:rsidTr="00BF4B86">
        <w:trPr>
          <w:trHeight w:val="40"/>
          <w:jc w:val="center"/>
        </w:trPr>
        <w:tc>
          <w:tcPr>
            <w:tcW w:w="2340" w:type="dxa"/>
            <w:tcBorders>
              <w:top w:val="nil"/>
              <w:left w:val="nil"/>
              <w:bottom w:val="nil"/>
              <w:right w:val="nil"/>
            </w:tcBorders>
            <w:shd w:val="clear" w:color="auto" w:fill="auto"/>
            <w:vAlign w:val="bottom"/>
          </w:tcPr>
          <w:p w14:paraId="17B4A00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AlcoholDrinkerNever</w:t>
            </w:r>
            <w:proofErr w:type="spellEnd"/>
          </w:p>
        </w:tc>
        <w:tc>
          <w:tcPr>
            <w:tcW w:w="720" w:type="dxa"/>
            <w:tcBorders>
              <w:top w:val="nil"/>
              <w:left w:val="nil"/>
              <w:bottom w:val="nil"/>
              <w:right w:val="nil"/>
            </w:tcBorders>
            <w:shd w:val="clear" w:color="auto" w:fill="auto"/>
            <w:vAlign w:val="center"/>
          </w:tcPr>
          <w:p w14:paraId="076B777F"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nil"/>
              <w:right w:val="nil"/>
            </w:tcBorders>
            <w:shd w:val="clear" w:color="auto" w:fill="auto"/>
            <w:vAlign w:val="center"/>
          </w:tcPr>
          <w:p w14:paraId="40D405E6"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630" w:type="dxa"/>
            <w:tcBorders>
              <w:top w:val="nil"/>
              <w:left w:val="nil"/>
              <w:bottom w:val="nil"/>
              <w:right w:val="nil"/>
            </w:tcBorders>
            <w:shd w:val="clear" w:color="auto" w:fill="auto"/>
            <w:vAlign w:val="center"/>
          </w:tcPr>
          <w:p w14:paraId="20F31C5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nil"/>
              <w:right w:val="double" w:sz="4" w:space="0" w:color="auto"/>
            </w:tcBorders>
            <w:shd w:val="clear" w:color="auto" w:fill="auto"/>
            <w:vAlign w:val="center"/>
          </w:tcPr>
          <w:p w14:paraId="299278D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720" w:type="dxa"/>
            <w:tcBorders>
              <w:top w:val="nil"/>
              <w:left w:val="double" w:sz="4" w:space="0" w:color="auto"/>
              <w:bottom w:val="nil"/>
              <w:right w:val="nil"/>
            </w:tcBorders>
            <w:shd w:val="clear" w:color="auto" w:fill="auto"/>
            <w:vAlign w:val="center"/>
          </w:tcPr>
          <w:p w14:paraId="73329E0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0.0631</w:t>
            </w:r>
          </w:p>
        </w:tc>
        <w:tc>
          <w:tcPr>
            <w:tcW w:w="900" w:type="dxa"/>
            <w:tcBorders>
              <w:top w:val="nil"/>
              <w:left w:val="nil"/>
              <w:bottom w:val="nil"/>
              <w:right w:val="nil"/>
            </w:tcBorders>
            <w:shd w:val="clear" w:color="auto" w:fill="auto"/>
            <w:vAlign w:val="center"/>
          </w:tcPr>
          <w:p w14:paraId="77E56F2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0.0984</w:t>
            </w:r>
          </w:p>
        </w:tc>
        <w:tc>
          <w:tcPr>
            <w:tcW w:w="720" w:type="dxa"/>
            <w:tcBorders>
              <w:top w:val="nil"/>
              <w:left w:val="nil"/>
              <w:bottom w:val="nil"/>
              <w:right w:val="nil"/>
            </w:tcBorders>
            <w:shd w:val="clear" w:color="auto" w:fill="auto"/>
            <w:vAlign w:val="center"/>
          </w:tcPr>
          <w:p w14:paraId="37E5E158"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0.641</w:t>
            </w:r>
          </w:p>
        </w:tc>
        <w:tc>
          <w:tcPr>
            <w:tcW w:w="720" w:type="dxa"/>
            <w:tcBorders>
              <w:top w:val="nil"/>
              <w:left w:val="nil"/>
              <w:bottom w:val="nil"/>
              <w:right w:val="nil"/>
            </w:tcBorders>
            <w:shd w:val="clear" w:color="auto" w:fill="auto"/>
            <w:vAlign w:val="center"/>
          </w:tcPr>
          <w:p w14:paraId="0902AD09"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0.522</w:t>
            </w:r>
          </w:p>
        </w:tc>
        <w:tc>
          <w:tcPr>
            <w:tcW w:w="810" w:type="dxa"/>
            <w:gridSpan w:val="2"/>
            <w:tcBorders>
              <w:top w:val="nil"/>
              <w:left w:val="nil"/>
              <w:bottom w:val="nil"/>
              <w:right w:val="nil"/>
            </w:tcBorders>
            <w:shd w:val="clear" w:color="auto" w:fill="auto"/>
            <w:vAlign w:val="center"/>
          </w:tcPr>
          <w:p w14:paraId="46B4F15C"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nil"/>
              <w:right w:val="nil"/>
            </w:tcBorders>
            <w:shd w:val="clear" w:color="auto" w:fill="auto"/>
            <w:vAlign w:val="center"/>
          </w:tcPr>
          <w:p w14:paraId="269C2E0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r w:rsidR="007B26A4" w:rsidRPr="00CD2F5C" w14:paraId="21F66E55" w14:textId="77777777" w:rsidTr="00BF4B86">
        <w:trPr>
          <w:trHeight w:val="40"/>
          <w:jc w:val="center"/>
        </w:trPr>
        <w:tc>
          <w:tcPr>
            <w:tcW w:w="2340" w:type="dxa"/>
            <w:tcBorders>
              <w:top w:val="nil"/>
              <w:left w:val="nil"/>
              <w:bottom w:val="single" w:sz="4" w:space="0" w:color="auto"/>
              <w:right w:val="nil"/>
            </w:tcBorders>
            <w:shd w:val="clear" w:color="auto" w:fill="auto"/>
            <w:vAlign w:val="bottom"/>
          </w:tcPr>
          <w:p w14:paraId="5AD47FC2"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b/>
                <w:bCs/>
                <w:sz w:val="24"/>
                <w:szCs w:val="24"/>
              </w:rPr>
            </w:pPr>
            <w:proofErr w:type="spellStart"/>
            <w:r w:rsidRPr="00CD2F5C">
              <w:rPr>
                <w:rFonts w:ascii="Cambria" w:eastAsia="Calibri" w:hAnsi="Cambria" w:cstheme="minorHAnsi"/>
                <w:b/>
                <w:bCs/>
                <w:sz w:val="24"/>
                <w:szCs w:val="24"/>
              </w:rPr>
              <w:t>AlcoholDrinkerPrevious</w:t>
            </w:r>
            <w:proofErr w:type="spellEnd"/>
          </w:p>
        </w:tc>
        <w:tc>
          <w:tcPr>
            <w:tcW w:w="720" w:type="dxa"/>
            <w:tcBorders>
              <w:top w:val="nil"/>
              <w:left w:val="nil"/>
              <w:bottom w:val="single" w:sz="4" w:space="0" w:color="auto"/>
              <w:right w:val="nil"/>
            </w:tcBorders>
            <w:shd w:val="clear" w:color="auto" w:fill="auto"/>
            <w:vAlign w:val="center"/>
          </w:tcPr>
          <w:p w14:paraId="25361ED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single" w:sz="4" w:space="0" w:color="auto"/>
              <w:right w:val="nil"/>
            </w:tcBorders>
            <w:shd w:val="clear" w:color="auto" w:fill="auto"/>
            <w:vAlign w:val="center"/>
          </w:tcPr>
          <w:p w14:paraId="28496D5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630" w:type="dxa"/>
            <w:tcBorders>
              <w:top w:val="nil"/>
              <w:left w:val="nil"/>
              <w:bottom w:val="single" w:sz="4" w:space="0" w:color="auto"/>
              <w:right w:val="nil"/>
            </w:tcBorders>
            <w:shd w:val="clear" w:color="auto" w:fill="auto"/>
            <w:vAlign w:val="center"/>
          </w:tcPr>
          <w:p w14:paraId="23F3FFD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810" w:type="dxa"/>
            <w:tcBorders>
              <w:top w:val="nil"/>
              <w:left w:val="nil"/>
              <w:bottom w:val="single" w:sz="4" w:space="0" w:color="auto"/>
              <w:right w:val="double" w:sz="4" w:space="0" w:color="auto"/>
            </w:tcBorders>
            <w:shd w:val="clear" w:color="auto" w:fill="auto"/>
            <w:vAlign w:val="center"/>
          </w:tcPr>
          <w:p w14:paraId="62AAAA27"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720" w:type="dxa"/>
            <w:tcBorders>
              <w:top w:val="nil"/>
              <w:left w:val="double" w:sz="4" w:space="0" w:color="auto"/>
              <w:bottom w:val="single" w:sz="4" w:space="0" w:color="auto"/>
              <w:right w:val="nil"/>
            </w:tcBorders>
            <w:shd w:val="clear" w:color="auto" w:fill="auto"/>
            <w:vAlign w:val="center"/>
          </w:tcPr>
          <w:p w14:paraId="484E8C35"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0.1226</w:t>
            </w:r>
          </w:p>
        </w:tc>
        <w:tc>
          <w:tcPr>
            <w:tcW w:w="900" w:type="dxa"/>
            <w:tcBorders>
              <w:top w:val="nil"/>
              <w:left w:val="nil"/>
              <w:bottom w:val="single" w:sz="4" w:space="0" w:color="auto"/>
              <w:right w:val="nil"/>
            </w:tcBorders>
            <w:shd w:val="clear" w:color="auto" w:fill="auto"/>
            <w:vAlign w:val="center"/>
          </w:tcPr>
          <w:p w14:paraId="0865B8A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0.0705</w:t>
            </w:r>
          </w:p>
        </w:tc>
        <w:tc>
          <w:tcPr>
            <w:tcW w:w="720" w:type="dxa"/>
            <w:tcBorders>
              <w:top w:val="nil"/>
              <w:left w:val="nil"/>
              <w:bottom w:val="single" w:sz="4" w:space="0" w:color="auto"/>
              <w:right w:val="nil"/>
            </w:tcBorders>
            <w:shd w:val="clear" w:color="auto" w:fill="auto"/>
            <w:vAlign w:val="center"/>
          </w:tcPr>
          <w:p w14:paraId="4168B72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1.739</w:t>
            </w:r>
          </w:p>
        </w:tc>
        <w:tc>
          <w:tcPr>
            <w:tcW w:w="720" w:type="dxa"/>
            <w:tcBorders>
              <w:top w:val="nil"/>
              <w:left w:val="nil"/>
              <w:bottom w:val="single" w:sz="4" w:space="0" w:color="auto"/>
              <w:right w:val="nil"/>
            </w:tcBorders>
            <w:shd w:val="clear" w:color="auto" w:fill="auto"/>
            <w:vAlign w:val="center"/>
          </w:tcPr>
          <w:p w14:paraId="69464121"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r w:rsidRPr="00CD2F5C">
              <w:rPr>
                <w:rFonts w:ascii="Cambria" w:eastAsia="Calibri" w:hAnsi="Cambria" w:cstheme="minorHAnsi"/>
                <w:sz w:val="24"/>
                <w:szCs w:val="24"/>
              </w:rPr>
              <w:t>0.082</w:t>
            </w:r>
          </w:p>
        </w:tc>
        <w:tc>
          <w:tcPr>
            <w:tcW w:w="810" w:type="dxa"/>
            <w:gridSpan w:val="2"/>
            <w:tcBorders>
              <w:top w:val="nil"/>
              <w:left w:val="nil"/>
              <w:bottom w:val="single" w:sz="4" w:space="0" w:color="auto"/>
              <w:right w:val="nil"/>
            </w:tcBorders>
            <w:shd w:val="clear" w:color="auto" w:fill="auto"/>
            <w:vAlign w:val="center"/>
          </w:tcPr>
          <w:p w14:paraId="473D8E8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c>
          <w:tcPr>
            <w:tcW w:w="1170" w:type="dxa"/>
            <w:tcBorders>
              <w:top w:val="nil"/>
              <w:left w:val="nil"/>
              <w:bottom w:val="single" w:sz="4" w:space="0" w:color="auto"/>
              <w:right w:val="nil"/>
            </w:tcBorders>
            <w:shd w:val="clear" w:color="auto" w:fill="auto"/>
            <w:vAlign w:val="center"/>
          </w:tcPr>
          <w:p w14:paraId="1F913DA4" w14:textId="77777777" w:rsidR="007B26A4" w:rsidRPr="00CD2F5C" w:rsidRDefault="007B26A4" w:rsidP="002B0F75">
            <w:pPr>
              <w:suppressAutoHyphens/>
              <w:overflowPunct w:val="0"/>
              <w:spacing w:after="0" w:line="360" w:lineRule="auto"/>
              <w:ind w:left="-5" w:hanging="10"/>
              <w:contextualSpacing/>
              <w:rPr>
                <w:rFonts w:ascii="Cambria" w:eastAsia="Calibri" w:hAnsi="Cambria" w:cstheme="minorHAnsi"/>
                <w:sz w:val="24"/>
                <w:szCs w:val="24"/>
              </w:rPr>
            </w:pPr>
          </w:p>
        </w:tc>
      </w:tr>
    </w:tbl>
    <w:p w14:paraId="05F37DBC" w14:textId="77777777" w:rsidR="007B26A4" w:rsidRPr="00CD2F5C" w:rsidRDefault="007B26A4" w:rsidP="002B0F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360" w:lineRule="auto"/>
        <w:rPr>
          <w:rFonts w:ascii="Cambria" w:eastAsia="Times New Roman" w:hAnsi="Cambria" w:cs="Arial"/>
          <w:sz w:val="24"/>
          <w:szCs w:val="24"/>
          <w:lang w:eastAsia="en-GB"/>
        </w:rPr>
      </w:pPr>
      <w:r w:rsidRPr="00CD2F5C">
        <w:rPr>
          <w:rFonts w:ascii="Cambria" w:eastAsia="Times New Roman" w:hAnsi="Cambria" w:cs="Arial"/>
          <w:sz w:val="24"/>
          <w:szCs w:val="24"/>
          <w:lang w:eastAsia="en-GB"/>
        </w:rPr>
        <w:t xml:space="preserve">Simplified final model: Null deviance: 3018 on 2001 degrees of freedom. Residual deviance: 2770 on 1985 degrees of freedom. AIC: 8320. </w:t>
      </w:r>
    </w:p>
    <w:p w14:paraId="692B5A61" w14:textId="77777777" w:rsidR="007B26A4" w:rsidRPr="00CD2F5C" w:rsidRDefault="007B26A4" w:rsidP="002B0F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360" w:lineRule="auto"/>
        <w:rPr>
          <w:rFonts w:ascii="Cambria" w:eastAsia="Times New Roman" w:hAnsi="Cambria" w:cs="Arial"/>
          <w:sz w:val="24"/>
          <w:szCs w:val="24"/>
          <w:lang w:eastAsia="en-GB"/>
        </w:rPr>
      </w:pPr>
      <w:r w:rsidRPr="00CD2F5C">
        <w:rPr>
          <w:rFonts w:ascii="Cambria" w:eastAsia="Times New Roman" w:hAnsi="Cambria" w:cs="Arial"/>
          <w:sz w:val="24"/>
          <w:szCs w:val="24"/>
          <w:lang w:eastAsia="en-GB"/>
        </w:rPr>
        <w:lastRenderedPageBreak/>
        <w:t>Mixed-effects model: Deviance: 8213. Residual degrees of freedom: 1971. AIC: 8275.</w:t>
      </w:r>
    </w:p>
    <w:p w14:paraId="0ACA0C62" w14:textId="77777777" w:rsidR="007B26A4" w:rsidRDefault="007B26A4" w:rsidP="002B0F75">
      <w:pPr>
        <w:spacing w:line="360" w:lineRule="auto"/>
        <w:rPr>
          <w:rFonts w:ascii="Times New Roman" w:eastAsia="Times New Roman" w:hAnsi="Times New Roman" w:cs="Times New Roman"/>
          <w:b/>
          <w:bCs/>
          <w:kern w:val="36"/>
          <w:sz w:val="48"/>
          <w:szCs w:val="48"/>
        </w:rPr>
      </w:pPr>
      <w:r>
        <w:br w:type="page"/>
      </w:r>
    </w:p>
    <w:p w14:paraId="08B6326B" w14:textId="41BA8854" w:rsidR="00B10A77" w:rsidRPr="002D1216" w:rsidRDefault="00B10A77" w:rsidP="002B0F75">
      <w:pPr>
        <w:pStyle w:val="Heading1"/>
        <w:spacing w:line="360" w:lineRule="auto"/>
        <w:rPr>
          <w:rFonts w:eastAsia="Calibri"/>
          <w:color w:val="000000"/>
        </w:rPr>
      </w:pPr>
      <w:bookmarkStart w:id="176" w:name="_Toc181362887"/>
      <w:r>
        <w:rPr>
          <w:rFonts w:eastAsia="Calibri"/>
        </w:rPr>
        <w:lastRenderedPageBreak/>
        <w:t>Chapter 4 s</w:t>
      </w:r>
      <w:r w:rsidRPr="1E06730D">
        <w:rPr>
          <w:rFonts w:eastAsia="Calibri"/>
        </w:rPr>
        <w:t>upplemental</w:t>
      </w:r>
      <w:bookmarkEnd w:id="176"/>
    </w:p>
    <w:p w14:paraId="50B8E586" w14:textId="4506A1FA" w:rsidR="00B10A77" w:rsidRPr="002D1216" w:rsidRDefault="6919E8F0" w:rsidP="002B0F75">
      <w:pPr>
        <w:spacing w:after="0" w:line="360" w:lineRule="auto"/>
        <w:rPr>
          <w:rFonts w:ascii="Cambria" w:eastAsia="Calibri" w:hAnsi="Cambria" w:cs="Calibri"/>
          <w:b/>
          <w:bCs/>
          <w:color w:val="000000"/>
          <w:sz w:val="24"/>
          <w:szCs w:val="24"/>
        </w:rPr>
      </w:pPr>
      <w:r w:rsidRPr="13B33B62">
        <w:rPr>
          <w:rFonts w:ascii="Cambria" w:eastAsia="Calibri" w:hAnsi="Cambria" w:cs="Calibri"/>
          <w:b/>
          <w:bCs/>
          <w:color w:val="000000" w:themeColor="text1"/>
          <w:sz w:val="24"/>
          <w:szCs w:val="24"/>
        </w:rPr>
        <w:t>Appendix A</w:t>
      </w:r>
    </w:p>
    <w:p w14:paraId="604A176D"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Table S1. Specific diagnosis given by physician (B1SA23A/ B1SA23D)</w:t>
      </w:r>
    </w:p>
    <w:p w14:paraId="157190F5"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noProof/>
          <w:color w:val="000000"/>
          <w:sz w:val="24"/>
          <w:szCs w:val="24"/>
        </w:rPr>
        <w:drawing>
          <wp:inline distT="0" distB="0" distL="0" distR="0" wp14:anchorId="66C620B8" wp14:editId="59E21B84">
            <wp:extent cx="3965692" cy="3549210"/>
            <wp:effectExtent l="0" t="0" r="0" b="0"/>
            <wp:docPr id="519931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0">
                      <a:extLst>
                        <a:ext uri="{BEBA8EAE-BF5A-486C-A8C5-ECC9F3942E4B}">
                          <a14:imgProps xmlns:a14="http://schemas.microsoft.com/office/drawing/2010/main">
                            <a14:imgLayer r:embed="rId151">
                              <a14:imgEffect>
                                <a14:sharpenSoften amount="28000"/>
                              </a14:imgEffect>
                              <a14:imgEffect>
                                <a14:brightnessContrast bright="18000" contrast="6000"/>
                              </a14:imgEffect>
                            </a14:imgLayer>
                          </a14:imgProps>
                        </a:ext>
                      </a:extLst>
                    </a:blip>
                    <a:stretch>
                      <a:fillRect/>
                    </a:stretch>
                  </pic:blipFill>
                  <pic:spPr>
                    <a:xfrm>
                      <a:off x="0" y="0"/>
                      <a:ext cx="3965692" cy="3549210"/>
                    </a:xfrm>
                    <a:prstGeom prst="rect">
                      <a:avLst/>
                    </a:prstGeom>
                  </pic:spPr>
                </pic:pic>
              </a:graphicData>
            </a:graphic>
          </wp:inline>
        </w:drawing>
      </w:r>
    </w:p>
    <w:p w14:paraId="40D2D11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ype="page"/>
      </w:r>
    </w:p>
    <w:p w14:paraId="72ACEB4C"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lastRenderedPageBreak/>
        <w:t>Table S2: Open Science Framework Stage 1 Registered Report questions</w:t>
      </w:r>
    </w:p>
    <w:tbl>
      <w:tblPr>
        <w:tblStyle w:val="TableGrid"/>
        <w:tblW w:w="0" w:type="auto"/>
        <w:tblLayout w:type="fixed"/>
        <w:tblLook w:val="06A0" w:firstRow="1" w:lastRow="0" w:firstColumn="1" w:lastColumn="0" w:noHBand="1" w:noVBand="1"/>
      </w:tblPr>
      <w:tblGrid>
        <w:gridCol w:w="2022"/>
        <w:gridCol w:w="7218"/>
        <w:gridCol w:w="655"/>
      </w:tblGrid>
      <w:tr w:rsidR="00B10A77" w:rsidRPr="002D1216" w14:paraId="41DF96FF" w14:textId="77777777" w:rsidTr="00BF4B86">
        <w:trPr>
          <w:trHeight w:val="300"/>
        </w:trPr>
        <w:tc>
          <w:tcPr>
            <w:tcW w:w="2022" w:type="dxa"/>
          </w:tcPr>
          <w:p w14:paraId="6ECBB16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 What is the main question being addressed in your study?</w:t>
            </w:r>
          </w:p>
          <w:p w14:paraId="1762955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Why is it important that we answer this question? What’s the big picture?</w:t>
            </w:r>
          </w:p>
        </w:tc>
        <w:tc>
          <w:tcPr>
            <w:tcW w:w="7218" w:type="dxa"/>
          </w:tcPr>
          <w:p w14:paraId="3C06FB8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To identify biopsychosocial pathways that may link childhood adversity with adult chronic pain. The specific objectives are: 1) to examine the relationships between reported childhood adversity, anxiety, and pain; 2) to assess the associations between childhood adversity, anxiety, inflammation (measured through CRP levels), and pain; and 3) to explore how childhood adversity, anxiety, and CRP may be associated with pain medication consumption in the United States.</w:t>
            </w:r>
          </w:p>
        </w:tc>
        <w:tc>
          <w:tcPr>
            <w:tcW w:w="655" w:type="dxa"/>
          </w:tcPr>
          <w:p w14:paraId="72EB246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 5-6</w:t>
            </w:r>
          </w:p>
        </w:tc>
      </w:tr>
      <w:tr w:rsidR="00B10A77" w:rsidRPr="002D1216" w14:paraId="30CF2DCE" w14:textId="77777777" w:rsidTr="00BF4B86">
        <w:trPr>
          <w:trHeight w:val="300"/>
        </w:trPr>
        <w:tc>
          <w:tcPr>
            <w:tcW w:w="2022" w:type="dxa"/>
          </w:tcPr>
          <w:p w14:paraId="39B094EC"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 Describe the key independent and dependent variable(s), specifying how they will be measured.</w:t>
            </w:r>
          </w:p>
          <w:p w14:paraId="464DE4D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Ensure that they are defined precisely</w:t>
            </w:r>
          </w:p>
        </w:tc>
        <w:tc>
          <w:tcPr>
            <w:tcW w:w="7218" w:type="dxa"/>
          </w:tcPr>
          <w:p w14:paraId="35520F4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Independent variables: Childhood adversity, anxiety, and CRP</w:t>
            </w:r>
          </w:p>
          <w:p w14:paraId="2820456C" w14:textId="77777777" w:rsidR="00B10A77" w:rsidRPr="002D1216" w:rsidRDefault="00B10A77" w:rsidP="002B0F75">
            <w:pPr>
              <w:spacing w:line="360" w:lineRule="auto"/>
              <w:rPr>
                <w:rFonts w:ascii="Cambria" w:eastAsia="Calibri" w:hAnsi="Cambria" w:cs="Calibri"/>
                <w:color w:val="000000"/>
                <w:sz w:val="24"/>
                <w:szCs w:val="24"/>
              </w:rPr>
            </w:pPr>
          </w:p>
          <w:p w14:paraId="7914100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Measures of the independent variables: Childhood Trauma Questionnaire (CTQ), State-Trait Anxiety Inventory Form Y (STAI), and blood C-reactive Protein (CRP)</w:t>
            </w:r>
          </w:p>
          <w:p w14:paraId="11B7EDE8" w14:textId="77777777" w:rsidR="00B10A77" w:rsidRPr="002D1216" w:rsidRDefault="00B10A77" w:rsidP="002B0F75">
            <w:pPr>
              <w:spacing w:line="360" w:lineRule="auto"/>
              <w:rPr>
                <w:rFonts w:ascii="Cambria" w:eastAsia="Calibri" w:hAnsi="Cambria" w:cs="Calibri"/>
                <w:color w:val="000000"/>
                <w:sz w:val="24"/>
                <w:szCs w:val="24"/>
              </w:rPr>
            </w:pPr>
          </w:p>
          <w:p w14:paraId="582E9F7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Dependent Variables: chronic pain in adulthood, and pain medication use</w:t>
            </w:r>
          </w:p>
          <w:p w14:paraId="0FA79ACE" w14:textId="77777777" w:rsidR="00B10A77" w:rsidRPr="002D1216" w:rsidRDefault="00B10A77" w:rsidP="002B0F75">
            <w:pPr>
              <w:spacing w:line="360" w:lineRule="auto"/>
              <w:rPr>
                <w:rFonts w:ascii="Cambria" w:eastAsia="Calibri" w:hAnsi="Cambria" w:cs="Calibri"/>
                <w:color w:val="000000"/>
                <w:sz w:val="24"/>
                <w:szCs w:val="24"/>
              </w:rPr>
            </w:pPr>
          </w:p>
          <w:p w14:paraId="2BEA81C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Measures of the dependent variables: Specific pain-related questions designed for the purpose of MIDAS</w:t>
            </w:r>
          </w:p>
          <w:p w14:paraId="5E810721" w14:textId="77777777" w:rsidR="00B10A77" w:rsidRPr="002D1216" w:rsidRDefault="00B10A77" w:rsidP="002B0F75">
            <w:pPr>
              <w:spacing w:line="360" w:lineRule="auto"/>
              <w:rPr>
                <w:rFonts w:ascii="Cambria" w:eastAsia="Calibri" w:hAnsi="Cambria" w:cs="Calibri"/>
                <w:color w:val="000000"/>
                <w:sz w:val="24"/>
                <w:szCs w:val="24"/>
              </w:rPr>
            </w:pPr>
          </w:p>
          <w:p w14:paraId="16FB6F68" w14:textId="77777777" w:rsidR="00B10A77" w:rsidRPr="002D1216" w:rsidRDefault="00B10A77" w:rsidP="002B0F75">
            <w:pPr>
              <w:spacing w:line="360" w:lineRule="auto"/>
              <w:rPr>
                <w:rFonts w:ascii="Cambria" w:eastAsia="Calibri" w:hAnsi="Cambria" w:cs="Calibri"/>
                <w:color w:val="000000"/>
                <w:sz w:val="24"/>
                <w:szCs w:val="24"/>
              </w:rPr>
            </w:pPr>
          </w:p>
        </w:tc>
        <w:tc>
          <w:tcPr>
            <w:tcW w:w="655" w:type="dxa"/>
          </w:tcPr>
          <w:p w14:paraId="46EDAA4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p6</w:t>
            </w:r>
          </w:p>
          <w:p w14:paraId="26A9E977" w14:textId="77777777" w:rsidR="00B10A77" w:rsidRPr="002D1216" w:rsidRDefault="00B10A77" w:rsidP="002B0F75">
            <w:pPr>
              <w:spacing w:line="360" w:lineRule="auto"/>
              <w:rPr>
                <w:rFonts w:ascii="Cambria" w:eastAsia="Calibri" w:hAnsi="Cambria" w:cs="Calibri"/>
                <w:color w:val="000000"/>
                <w:sz w:val="24"/>
                <w:szCs w:val="24"/>
              </w:rPr>
            </w:pPr>
          </w:p>
          <w:p w14:paraId="5F6E503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p8-9</w:t>
            </w:r>
          </w:p>
          <w:p w14:paraId="26096ECF" w14:textId="77777777" w:rsidR="00B10A77" w:rsidRPr="002D1216" w:rsidRDefault="00B10A77" w:rsidP="002B0F75">
            <w:pPr>
              <w:spacing w:line="360" w:lineRule="auto"/>
              <w:rPr>
                <w:rFonts w:ascii="Cambria" w:eastAsia="Calibri" w:hAnsi="Cambria" w:cs="Calibri"/>
                <w:color w:val="000000"/>
                <w:sz w:val="24"/>
                <w:szCs w:val="24"/>
              </w:rPr>
            </w:pPr>
          </w:p>
          <w:p w14:paraId="52ECC09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p6</w:t>
            </w:r>
          </w:p>
          <w:p w14:paraId="5FA4F59C" w14:textId="77777777" w:rsidR="00B10A77" w:rsidRPr="002D1216" w:rsidRDefault="00B10A77" w:rsidP="002B0F75">
            <w:pPr>
              <w:spacing w:line="360" w:lineRule="auto"/>
              <w:rPr>
                <w:rFonts w:ascii="Cambria" w:eastAsia="Calibri" w:hAnsi="Cambria" w:cs="Calibri"/>
                <w:color w:val="000000"/>
                <w:sz w:val="24"/>
                <w:szCs w:val="24"/>
              </w:rPr>
            </w:pPr>
          </w:p>
          <w:p w14:paraId="566F479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p9</w:t>
            </w:r>
          </w:p>
          <w:p w14:paraId="0619AD72" w14:textId="77777777" w:rsidR="00B10A77" w:rsidRPr="002D1216" w:rsidRDefault="00B10A77" w:rsidP="002B0F75">
            <w:pPr>
              <w:spacing w:line="360" w:lineRule="auto"/>
              <w:rPr>
                <w:rFonts w:ascii="Cambria" w:eastAsia="Calibri" w:hAnsi="Cambria" w:cs="Calibri"/>
                <w:color w:val="000000"/>
                <w:sz w:val="24"/>
                <w:szCs w:val="24"/>
              </w:rPr>
            </w:pPr>
          </w:p>
          <w:p w14:paraId="221F9621" w14:textId="77777777" w:rsidR="00B10A77" w:rsidRPr="002D1216" w:rsidRDefault="00B10A77" w:rsidP="002B0F75">
            <w:pPr>
              <w:spacing w:line="360" w:lineRule="auto"/>
              <w:rPr>
                <w:rFonts w:ascii="Cambria" w:eastAsia="Calibri" w:hAnsi="Cambria" w:cs="Calibri"/>
                <w:color w:val="000000"/>
                <w:sz w:val="24"/>
                <w:szCs w:val="24"/>
              </w:rPr>
            </w:pPr>
          </w:p>
        </w:tc>
      </w:tr>
      <w:tr w:rsidR="00B10A77" w:rsidRPr="002D1216" w14:paraId="56E0C42E" w14:textId="77777777" w:rsidTr="00BF4B86">
        <w:trPr>
          <w:trHeight w:val="300"/>
        </w:trPr>
        <w:tc>
          <w:tcPr>
            <w:tcW w:w="2022" w:type="dxa"/>
          </w:tcPr>
          <w:p w14:paraId="171D0C0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 What are your hypotheses?</w:t>
            </w:r>
          </w:p>
          <w:p w14:paraId="50645538" w14:textId="77777777" w:rsidR="00B10A77" w:rsidRPr="002D1216" w:rsidRDefault="00B10A77" w:rsidP="002B0F75">
            <w:pPr>
              <w:spacing w:line="360" w:lineRule="auto"/>
              <w:rPr>
                <w:rFonts w:ascii="Cambria" w:eastAsia="Calibri" w:hAnsi="Cambria" w:cs="Calibri"/>
                <w:color w:val="000000"/>
                <w:sz w:val="24"/>
                <w:szCs w:val="24"/>
              </w:rPr>
            </w:pPr>
          </w:p>
        </w:tc>
        <w:tc>
          <w:tcPr>
            <w:tcW w:w="7218" w:type="dxa"/>
          </w:tcPr>
          <w:p w14:paraId="342620E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It is hypothesized that childhood adversity relates to chronic pain experience in adulthood, and that there will be positive associations between 1) childhood adversity and anxiety, 2) childhood adversity and CRP levels, 3) childhood adversity and pain, and that the link between childhood adversity and pain will be influenced by anxiety and/or CRP. Although objective 3 is exploratory, it is hypothesized that childhood adversity, anxiety, and CRP will all be positively </w:t>
            </w:r>
            <w:r w:rsidRPr="002D1216">
              <w:rPr>
                <w:rFonts w:ascii="Cambria" w:eastAsia="Calibri" w:hAnsi="Cambria" w:cs="Calibri"/>
                <w:color w:val="000000"/>
                <w:sz w:val="24"/>
                <w:szCs w:val="24"/>
              </w:rPr>
              <w:lastRenderedPageBreak/>
              <w:t>associated with increased pain medication consumption in the United States.</w:t>
            </w:r>
          </w:p>
          <w:p w14:paraId="35C93CC6"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corresponding H0 are 1) there will be no significant positive association between childhood adversity and anxiety, 2) there will be no significant positive association between childhood adversity and CRP levels, and 3) there will be no significant positive association between childhood adversity and pain. Furthermore, any childhood adversity and pain association will not be influenced by anxiety and/or CRP. For exploratory objective 3 the H0 is that childhood adversity, anxiety, and CRP will not be associated with increased pain medication consumption in the United States.</w:t>
            </w:r>
          </w:p>
        </w:tc>
        <w:tc>
          <w:tcPr>
            <w:tcW w:w="655" w:type="dxa"/>
          </w:tcPr>
          <w:p w14:paraId="042D3F4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p6</w:t>
            </w:r>
          </w:p>
        </w:tc>
      </w:tr>
      <w:tr w:rsidR="00B10A77" w:rsidRPr="002D1216" w14:paraId="1D03AE69" w14:textId="77777777" w:rsidTr="00BF4B86">
        <w:trPr>
          <w:trHeight w:val="300"/>
        </w:trPr>
        <w:tc>
          <w:tcPr>
            <w:tcW w:w="2022" w:type="dxa"/>
          </w:tcPr>
          <w:p w14:paraId="07D3068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 How many and which conditions will participants/samples be assigned to?</w:t>
            </w:r>
          </w:p>
          <w:p w14:paraId="45AF5A5D" w14:textId="77777777" w:rsidR="00B10A77" w:rsidRPr="002D1216" w:rsidRDefault="00B10A77" w:rsidP="002B0F75">
            <w:pPr>
              <w:spacing w:line="360" w:lineRule="auto"/>
              <w:rPr>
                <w:rFonts w:ascii="Cambria" w:eastAsia="Calibri" w:hAnsi="Cambria" w:cs="Calibri"/>
                <w:color w:val="000000"/>
                <w:sz w:val="24"/>
                <w:szCs w:val="24"/>
              </w:rPr>
            </w:pPr>
          </w:p>
        </w:tc>
        <w:tc>
          <w:tcPr>
            <w:tcW w:w="7218" w:type="dxa"/>
          </w:tcPr>
          <w:p w14:paraId="732A876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The MIDUS core national sample was based on a nationally representative random-digit </w:t>
            </w:r>
            <w:proofErr w:type="spellStart"/>
            <w:r w:rsidRPr="002D1216">
              <w:rPr>
                <w:rFonts w:ascii="Cambria" w:eastAsia="Calibri" w:hAnsi="Cambria" w:cs="Calibri"/>
                <w:color w:val="000000"/>
                <w:sz w:val="24"/>
                <w:szCs w:val="24"/>
              </w:rPr>
              <w:t>dialing</w:t>
            </w:r>
            <w:proofErr w:type="spellEnd"/>
            <w:r w:rsidRPr="002D1216">
              <w:rPr>
                <w:rFonts w:ascii="Cambria" w:eastAsia="Calibri" w:hAnsi="Cambria" w:cs="Calibri"/>
                <w:color w:val="000000"/>
                <w:sz w:val="24"/>
                <w:szCs w:val="24"/>
              </w:rPr>
              <w:t xml:space="preserve"> (RDD) sample of non-institutionalized, English-speaking adults, aged 25 to 74, selected from working telephone banks in the coterminous United States. City-specific oversamples were also included to increase racial and geographic representativeness. The sampling and selection of participants in the non-survey projects (cognitive, daily stress, biomarker, neuroscience) was contingent upon eligibility criteria specific to each project. For the purposes of our retrospective study, a stratified randomization sample will be taken from the overall MIDUS sampling selection based on which participants have data available for the variables of interest as noted in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w:t>
            </w:r>
          </w:p>
        </w:tc>
        <w:tc>
          <w:tcPr>
            <w:tcW w:w="655" w:type="dxa"/>
          </w:tcPr>
          <w:p w14:paraId="4198C67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P7</w:t>
            </w:r>
          </w:p>
        </w:tc>
      </w:tr>
      <w:tr w:rsidR="00B10A77" w:rsidRPr="002D1216" w14:paraId="29960CD5" w14:textId="77777777" w:rsidTr="00BF4B86">
        <w:trPr>
          <w:trHeight w:val="300"/>
        </w:trPr>
        <w:tc>
          <w:tcPr>
            <w:tcW w:w="2022" w:type="dxa"/>
          </w:tcPr>
          <w:p w14:paraId="3146B56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 How many observations will be collected and what rule will you use to terminate data collection?</w:t>
            </w:r>
          </w:p>
          <w:p w14:paraId="00AB1B26"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 </w:t>
            </w:r>
          </w:p>
        </w:tc>
        <w:tc>
          <w:tcPr>
            <w:tcW w:w="7218" w:type="dxa"/>
          </w:tcPr>
          <w:p w14:paraId="3F3D40A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Not applicable (as data are secondary).</w:t>
            </w:r>
          </w:p>
        </w:tc>
        <w:tc>
          <w:tcPr>
            <w:tcW w:w="655" w:type="dxa"/>
          </w:tcPr>
          <w:p w14:paraId="2BE5CA7E" w14:textId="77777777" w:rsidR="00B10A77" w:rsidRPr="002D1216" w:rsidRDefault="00B10A77" w:rsidP="002B0F75">
            <w:pPr>
              <w:spacing w:line="360" w:lineRule="auto"/>
              <w:rPr>
                <w:rFonts w:ascii="Cambria" w:eastAsia="Calibri" w:hAnsi="Cambria" w:cs="Calibri"/>
                <w:color w:val="000000"/>
                <w:sz w:val="24"/>
                <w:szCs w:val="24"/>
              </w:rPr>
            </w:pPr>
          </w:p>
        </w:tc>
      </w:tr>
      <w:tr w:rsidR="00B10A77" w:rsidRPr="002D1216" w14:paraId="0AC2E3E1" w14:textId="77777777" w:rsidTr="00BF4B86">
        <w:trPr>
          <w:trHeight w:val="300"/>
        </w:trPr>
        <w:tc>
          <w:tcPr>
            <w:tcW w:w="2022" w:type="dxa"/>
          </w:tcPr>
          <w:p w14:paraId="7C76FEAC"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 What are your study inclusion criteria?</w:t>
            </w:r>
          </w:p>
          <w:p w14:paraId="7C150EA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How will participants/samples be recruited/included and under what specific rules?</w:t>
            </w:r>
          </w:p>
        </w:tc>
        <w:tc>
          <w:tcPr>
            <w:tcW w:w="7218" w:type="dxa"/>
          </w:tcPr>
          <w:p w14:paraId="4EDF4A5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i/>
                <w:iCs/>
                <w:color w:val="000000"/>
                <w:sz w:val="24"/>
                <w:szCs w:val="24"/>
              </w:rPr>
              <w:t>Childhood adversity:</w:t>
            </w:r>
            <w:r w:rsidRPr="002D1216">
              <w:rPr>
                <w:rFonts w:ascii="Cambria" w:eastAsia="Calibri" w:hAnsi="Cambria" w:cs="Calibri"/>
                <w:color w:val="000000"/>
                <w:sz w:val="24"/>
                <w:szCs w:val="24"/>
              </w:rPr>
              <w:t xml:space="preserve"> Participants had to have responded </w:t>
            </w:r>
            <w:proofErr w:type="gramStart"/>
            <w:r w:rsidRPr="002D1216">
              <w:rPr>
                <w:rFonts w:ascii="Cambria" w:eastAsia="Calibri" w:hAnsi="Cambria" w:cs="Calibri"/>
                <w:color w:val="000000"/>
                <w:sz w:val="24"/>
                <w:szCs w:val="24"/>
              </w:rPr>
              <w:t>to  the</w:t>
            </w:r>
            <w:proofErr w:type="gramEnd"/>
            <w:r w:rsidRPr="002D1216">
              <w:rPr>
                <w:rFonts w:ascii="Cambria" w:eastAsia="Calibri" w:hAnsi="Cambria" w:cs="Calibri"/>
                <w:color w:val="000000"/>
                <w:sz w:val="24"/>
                <w:szCs w:val="24"/>
              </w:rPr>
              <w:t xml:space="preserve"> CTQ at the biomarker collection stage sample of MIDUS. Participants reporting no adverse childhood experiences (ACEs) will not be excluded. </w:t>
            </w:r>
          </w:p>
          <w:p w14:paraId="67331429"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i/>
                <w:iCs/>
                <w:color w:val="000000"/>
                <w:sz w:val="24"/>
                <w:szCs w:val="24"/>
              </w:rPr>
              <w:t>Anxiety:</w:t>
            </w:r>
            <w:r w:rsidRPr="002D1216">
              <w:rPr>
                <w:rFonts w:ascii="Cambria" w:eastAsia="Calibri" w:hAnsi="Cambria" w:cs="Calibri"/>
                <w:color w:val="000000"/>
                <w:sz w:val="24"/>
                <w:szCs w:val="24"/>
              </w:rPr>
              <w:t xml:space="preserve"> Participants had to have responded to STAI items. Low scores will not be excluded. </w:t>
            </w:r>
          </w:p>
          <w:p w14:paraId="2D996A1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i/>
                <w:iCs/>
                <w:color w:val="000000"/>
                <w:sz w:val="24"/>
                <w:szCs w:val="24"/>
              </w:rPr>
              <w:t>Pain</w:t>
            </w:r>
            <w:r w:rsidRPr="002D1216">
              <w:rPr>
                <w:rFonts w:ascii="Cambria" w:eastAsia="Calibri" w:hAnsi="Cambria" w:cs="Calibri"/>
                <w:color w:val="000000"/>
                <w:sz w:val="24"/>
                <w:szCs w:val="24"/>
              </w:rPr>
              <w:t>: A person was considered to have chronic pain if they met any of the following criteria: 1) Had any valid chronic pain diagnostic (B1SA23A/B1SA23D); Reported zero time without feeling pain in the last month (B4Q10WW1); Saw a professional about chronic pain (BACAS22); Indicated having chronic pain (B1SA15/K2Q17/BACAS15/RA1SA15); or Physician diagnosed chronic back/neck problems (K2Q1XD).</w:t>
            </w:r>
          </w:p>
          <w:p w14:paraId="7187141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i/>
                <w:iCs/>
                <w:color w:val="000000"/>
                <w:sz w:val="24"/>
                <w:szCs w:val="24"/>
              </w:rPr>
              <w:t>CRP</w:t>
            </w:r>
            <w:r w:rsidRPr="002D1216">
              <w:rPr>
                <w:rFonts w:ascii="Cambria" w:eastAsia="Calibri" w:hAnsi="Cambria" w:cs="Calibri"/>
                <w:color w:val="000000"/>
                <w:sz w:val="24"/>
                <w:szCs w:val="24"/>
              </w:rPr>
              <w:t xml:space="preserve">: Participants had to have provided plasma and serum samples at the biomarker collection stage. For citrated plasma, the assay range was 0.175–1100 ug/mL (inter-assay variability: 2.1–5.7%; reference range: ≤3 ug/mL), and for serum the assay range was 0.014–216ug/mL (inter-assay variability: 4.72–5.16%; reference range: &lt;3 ug/mL). </w:t>
            </w:r>
          </w:p>
        </w:tc>
        <w:tc>
          <w:tcPr>
            <w:tcW w:w="655" w:type="dxa"/>
          </w:tcPr>
          <w:p w14:paraId="6619E71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P8-10</w:t>
            </w:r>
          </w:p>
        </w:tc>
      </w:tr>
      <w:tr w:rsidR="00B10A77" w:rsidRPr="002D1216" w14:paraId="58AE9039" w14:textId="77777777" w:rsidTr="00BF4B86">
        <w:trPr>
          <w:trHeight w:val="300"/>
        </w:trPr>
        <w:tc>
          <w:tcPr>
            <w:tcW w:w="2022" w:type="dxa"/>
          </w:tcPr>
          <w:p w14:paraId="71ACDAA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7) What are your data exclusion criteria?</w:t>
            </w:r>
          </w:p>
          <w:p w14:paraId="0F4CD6B8" w14:textId="77777777" w:rsidR="00B10A77" w:rsidRPr="002D1216" w:rsidRDefault="00B10A77" w:rsidP="002B0F75">
            <w:pPr>
              <w:spacing w:line="360" w:lineRule="auto"/>
              <w:rPr>
                <w:rFonts w:ascii="Cambria" w:eastAsia="Calibri" w:hAnsi="Cambria" w:cs="Calibri"/>
                <w:color w:val="000000"/>
                <w:sz w:val="24"/>
                <w:szCs w:val="24"/>
              </w:rPr>
            </w:pPr>
          </w:p>
        </w:tc>
        <w:tc>
          <w:tcPr>
            <w:tcW w:w="7218" w:type="dxa"/>
          </w:tcPr>
          <w:p w14:paraId="11D5FE2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Participants will be excluded if they did not respond to the CTQ and STAI questionnaires, have not met chronic pain criteria, and if CRP was outside of the acceptable ranges (&gt;10%). For objective 1 and 2 analyses: Cases missing any indicator (see </w:t>
            </w:r>
            <w:r w:rsidRPr="002D1216">
              <w:rPr>
                <w:rFonts w:ascii="Cambria" w:eastAsia="Calibri" w:hAnsi="Cambria" w:cs="Calibri"/>
                <w:b/>
                <w:bCs/>
                <w:color w:val="000000"/>
                <w:sz w:val="24"/>
                <w:szCs w:val="24"/>
              </w:rPr>
              <w:t>Table S4</w:t>
            </w:r>
            <w:r w:rsidRPr="002D1216">
              <w:rPr>
                <w:rFonts w:ascii="Cambria" w:eastAsia="Calibri" w:hAnsi="Cambria" w:cs="Calibri"/>
                <w:color w:val="000000"/>
                <w:sz w:val="24"/>
                <w:szCs w:val="24"/>
              </w:rPr>
              <w:t>) or control variables (</w:t>
            </w:r>
            <w:r w:rsidRPr="002D1216">
              <w:rPr>
                <w:rFonts w:ascii="Cambria" w:eastAsia="Calibri" w:hAnsi="Cambria" w:cs="Calibri"/>
                <w:b/>
                <w:bCs/>
                <w:color w:val="000000"/>
                <w:sz w:val="24"/>
                <w:szCs w:val="24"/>
              </w:rPr>
              <w:t>Table 1</w:t>
            </w:r>
            <w:r w:rsidRPr="002D1216">
              <w:rPr>
                <w:rFonts w:ascii="Cambria" w:eastAsia="Calibri" w:hAnsi="Cambria" w:cs="Calibri"/>
                <w:color w:val="000000"/>
                <w:sz w:val="24"/>
                <w:szCs w:val="24"/>
              </w:rPr>
              <w:t xml:space="preserve">) will be dropped from the sample. For objective 3 (exploratory): Any records where one or more parameters were missing will be dropped from the regression model. In the overall scale variables such as the CTQ, a value &gt; 97 will be recoded to missing, as per the MIDUS data dictionary (Ryff et al. 2021). For subscale variables, e.g., on a 1 to 5 Likert scale, a value &gt; 7 will be </w:t>
            </w:r>
            <w:r w:rsidRPr="002D1216">
              <w:rPr>
                <w:rFonts w:ascii="Cambria" w:eastAsia="Calibri" w:hAnsi="Cambria" w:cs="Calibri"/>
                <w:color w:val="000000"/>
                <w:sz w:val="24"/>
                <w:szCs w:val="24"/>
              </w:rPr>
              <w:lastRenderedPageBreak/>
              <w:t>recoded to missing as per the data dictionary. Control variables for income having values 9999998 and -1 and racial origins having value 7 will be recoded as “NA” as per the MIDUS data dictionary (Ryff et al. 2021).</w:t>
            </w:r>
          </w:p>
        </w:tc>
        <w:tc>
          <w:tcPr>
            <w:tcW w:w="655" w:type="dxa"/>
          </w:tcPr>
          <w:p w14:paraId="5984DA1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P11</w:t>
            </w:r>
          </w:p>
        </w:tc>
      </w:tr>
      <w:tr w:rsidR="00B10A77" w:rsidRPr="002D1216" w14:paraId="28D36179" w14:textId="77777777" w:rsidTr="00BF4B86">
        <w:trPr>
          <w:trHeight w:val="300"/>
        </w:trPr>
        <w:tc>
          <w:tcPr>
            <w:tcW w:w="2022" w:type="dxa"/>
          </w:tcPr>
          <w:p w14:paraId="3BDFB09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8) What positive controls or quality checks will confirm that the obtained results are able to provide a fair test of the stated hypothesis?</w:t>
            </w:r>
          </w:p>
          <w:p w14:paraId="0F85D764" w14:textId="77777777" w:rsidR="00B10A77" w:rsidRPr="002D1216" w:rsidRDefault="00B10A77" w:rsidP="002B0F75">
            <w:pPr>
              <w:spacing w:line="360" w:lineRule="auto"/>
              <w:rPr>
                <w:rFonts w:ascii="Cambria" w:eastAsia="Calibri" w:hAnsi="Cambria" w:cs="Calibri"/>
                <w:color w:val="000000"/>
                <w:sz w:val="24"/>
                <w:szCs w:val="24"/>
              </w:rPr>
            </w:pPr>
          </w:p>
        </w:tc>
        <w:tc>
          <w:tcPr>
            <w:tcW w:w="7218" w:type="dxa"/>
          </w:tcPr>
          <w:p w14:paraId="1CA4BE9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For objective 1 and 2 analyses: If the data is found to not be normally distributed, the ‘robust’ version of the maximum likelihood parameter estimation method will be used, which does not rely on the normality assumption and provides robust standard errors and a scaled test statistic (Yuan &amp; Bentler 2007). Socio-demographics were of interest as potential confounders and will be included as additional control variables in the regression.</w:t>
            </w:r>
          </w:p>
          <w:p w14:paraId="77308796" w14:textId="77777777" w:rsidR="00B10A77" w:rsidRPr="002D1216" w:rsidRDefault="00B10A77" w:rsidP="002B0F75">
            <w:pPr>
              <w:spacing w:line="360" w:lineRule="auto"/>
              <w:rPr>
                <w:rFonts w:ascii="Cambria" w:eastAsia="Calibri" w:hAnsi="Cambria" w:cs="Calibri"/>
                <w:color w:val="000000"/>
                <w:sz w:val="24"/>
                <w:szCs w:val="24"/>
              </w:rPr>
            </w:pPr>
          </w:p>
          <w:p w14:paraId="1BCE7271" w14:textId="7957E924"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For objective 3 (exploratory): If the dependent variable is imbalanced, such as due to a high number of the available records did not including medication data for chronic pain, model performance results will also be presented in the form of a confusion matrix (true positives, true negatives, false positives, false negatives) with the sensitivity and specificity statistics reported to address this. For comparison checks for update </w:t>
            </w:r>
            <w:r w:rsidR="0003790A"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in this case, a model will also be run with only the significant predictors and pairwise interactions (including corresponding predictors for the significant pairwise interactions).</w:t>
            </w:r>
          </w:p>
        </w:tc>
        <w:tc>
          <w:tcPr>
            <w:tcW w:w="655" w:type="dxa"/>
          </w:tcPr>
          <w:p w14:paraId="5A0910B9"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P12-14</w:t>
            </w:r>
          </w:p>
        </w:tc>
      </w:tr>
      <w:tr w:rsidR="00B10A77" w:rsidRPr="002D1216" w14:paraId="3891B1E0" w14:textId="77777777" w:rsidTr="00BF4B86">
        <w:trPr>
          <w:trHeight w:val="300"/>
        </w:trPr>
        <w:tc>
          <w:tcPr>
            <w:tcW w:w="2022" w:type="dxa"/>
          </w:tcPr>
          <w:p w14:paraId="504F37B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9) Specify exactly which analyses you will conduct to examine the main question/hypothesis(es)</w:t>
            </w:r>
          </w:p>
          <w:p w14:paraId="0A1A7D98" w14:textId="77777777" w:rsidR="00B10A77" w:rsidRPr="002D1216" w:rsidRDefault="00B10A77" w:rsidP="002B0F75">
            <w:pPr>
              <w:spacing w:line="360" w:lineRule="auto"/>
              <w:rPr>
                <w:rFonts w:ascii="Cambria" w:eastAsia="Calibri" w:hAnsi="Cambria" w:cs="Calibri"/>
                <w:color w:val="000000"/>
                <w:sz w:val="24"/>
                <w:szCs w:val="24"/>
              </w:rPr>
            </w:pPr>
          </w:p>
        </w:tc>
        <w:tc>
          <w:tcPr>
            <w:tcW w:w="7218" w:type="dxa"/>
          </w:tcPr>
          <w:p w14:paraId="3550F69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See </w:t>
            </w:r>
            <w:r w:rsidRPr="002D1216">
              <w:rPr>
                <w:rFonts w:ascii="Cambria" w:eastAsia="Calibri" w:hAnsi="Cambria" w:cs="Calibri"/>
                <w:b/>
                <w:bCs/>
                <w:color w:val="000000"/>
                <w:sz w:val="24"/>
                <w:szCs w:val="24"/>
              </w:rPr>
              <w:t>Tables S3 &amp; S4</w:t>
            </w:r>
            <w:r w:rsidRPr="002D1216">
              <w:rPr>
                <w:rFonts w:ascii="Cambria" w:eastAsia="Calibri" w:hAnsi="Cambria" w:cs="Calibri"/>
                <w:color w:val="000000"/>
                <w:sz w:val="24"/>
                <w:szCs w:val="24"/>
              </w:rPr>
              <w:t xml:space="preserve"> below.</w:t>
            </w:r>
          </w:p>
          <w:p w14:paraId="7E1054BE" w14:textId="77777777" w:rsidR="00B10A77" w:rsidRPr="002D1216" w:rsidRDefault="00B10A77" w:rsidP="002B0F75">
            <w:pPr>
              <w:spacing w:line="360" w:lineRule="auto"/>
              <w:rPr>
                <w:rFonts w:ascii="Cambria" w:eastAsia="Calibri" w:hAnsi="Cambria" w:cs="Calibri"/>
                <w:color w:val="000000"/>
                <w:sz w:val="24"/>
                <w:szCs w:val="24"/>
              </w:rPr>
            </w:pPr>
          </w:p>
          <w:p w14:paraId="538FFA14" w14:textId="3C97F7A0"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Utilizing SEM analyses allows testing theory validity using empirical models with an advantage of managing measurement error. To additionally address and minimize potential bias in our proposed analysis, robustness testing of the SEM goodness of fit specifically using the root mean square error approximation (RMSEA), comparative fit index (CFI), and Akaike information criterion (AIC) </w:t>
            </w:r>
            <w:r w:rsidRPr="002D1216">
              <w:rPr>
                <w:rFonts w:ascii="Cambria" w:eastAsia="Calibri" w:hAnsi="Cambria" w:cs="Calibri"/>
                <w:color w:val="000000"/>
                <w:sz w:val="24"/>
                <w:szCs w:val="24"/>
              </w:rPr>
              <w:lastRenderedPageBreak/>
              <w:t xml:space="preserve">thresholds will be conducted. To account for the possibility the of variable imbalance, model performance results will also be presented in the form of a confusion matrix (true positives, true negatives, false positives, false negatives) with the sensitivity and specificity statistics reported. The regression model will be tuned to maximizing sensitivity (true positives) to ensure that the model correctly predicts the outcomes. Resulting associations will then be tested in General Linear </w:t>
            </w:r>
            <w:r w:rsidR="0003790A" w:rsidRPr="002D1216">
              <w:rPr>
                <w:rFonts w:ascii="Cambria" w:eastAsia="Calibri" w:hAnsi="Cambria" w:cs="Calibri"/>
                <w:color w:val="000000"/>
                <w:sz w:val="24"/>
                <w:szCs w:val="24"/>
              </w:rPr>
              <w:t>Modelling</w:t>
            </w:r>
            <w:r w:rsidRPr="002D1216">
              <w:rPr>
                <w:rFonts w:ascii="Cambria" w:eastAsia="Calibri" w:hAnsi="Cambria" w:cs="Calibri"/>
                <w:color w:val="000000"/>
                <w:sz w:val="24"/>
                <w:szCs w:val="24"/>
              </w:rPr>
              <w:t xml:space="preserve"> with logit link function (Logistic regression), such as by first examining the potential effect of ACEs, anxiety, and CRP on chronic pain. If any of the regression models cannot be fitted, then relationships will be assessed using Spearman correlations instead. Finally, additional sensitivity analyses will also be conducted excluding those with CRP levels greater than 10 mg/l from the regression analyses</w:t>
            </w:r>
            <w:r w:rsidRPr="002D1216" w:rsidDel="007652FB">
              <w:rPr>
                <w:rFonts w:ascii="Cambria" w:eastAsia="Calibri" w:hAnsi="Cambria" w:cs="Calibri"/>
                <w:color w:val="000000"/>
                <w:sz w:val="24"/>
                <w:szCs w:val="24"/>
              </w:rPr>
              <w:t xml:space="preserve"> </w:t>
            </w:r>
            <w:r w:rsidRPr="002D1216">
              <w:rPr>
                <w:rFonts w:ascii="Cambria" w:eastAsia="Calibri" w:hAnsi="Cambria" w:cs="Calibri"/>
                <w:color w:val="000000"/>
                <w:sz w:val="24"/>
                <w:szCs w:val="24"/>
              </w:rPr>
              <w:t>(to test the model validity; p&lt;0.05).</w:t>
            </w:r>
          </w:p>
        </w:tc>
        <w:tc>
          <w:tcPr>
            <w:tcW w:w="655" w:type="dxa"/>
          </w:tcPr>
          <w:p w14:paraId="5579B13F" w14:textId="77777777" w:rsidR="00B10A77" w:rsidRPr="002D1216" w:rsidRDefault="00B10A77" w:rsidP="002B0F75">
            <w:pPr>
              <w:spacing w:line="360" w:lineRule="auto"/>
              <w:rPr>
                <w:rFonts w:ascii="Cambria" w:eastAsia="Calibri" w:hAnsi="Cambria" w:cs="Calibri"/>
                <w:color w:val="000000"/>
                <w:sz w:val="24"/>
                <w:szCs w:val="24"/>
              </w:rPr>
            </w:pPr>
          </w:p>
        </w:tc>
      </w:tr>
      <w:tr w:rsidR="00B10A77" w:rsidRPr="002D1216" w14:paraId="543DEF50" w14:textId="77777777" w:rsidTr="00BF4B86">
        <w:trPr>
          <w:trHeight w:val="300"/>
        </w:trPr>
        <w:tc>
          <w:tcPr>
            <w:tcW w:w="2022" w:type="dxa"/>
          </w:tcPr>
          <w:p w14:paraId="4861BF1B"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10) Are you proposing to collect new data or analyse existing data? </w:t>
            </w:r>
          </w:p>
          <w:p w14:paraId="68ED5BC1" w14:textId="77777777" w:rsidR="00B10A77" w:rsidRPr="002D1216" w:rsidRDefault="00B10A77" w:rsidP="002B0F75">
            <w:pPr>
              <w:spacing w:line="360" w:lineRule="auto"/>
              <w:rPr>
                <w:rFonts w:ascii="Cambria" w:eastAsia="Calibri" w:hAnsi="Cambria" w:cs="Calibri"/>
                <w:color w:val="000000"/>
                <w:sz w:val="24"/>
                <w:szCs w:val="24"/>
              </w:rPr>
            </w:pPr>
          </w:p>
        </w:tc>
        <w:tc>
          <w:tcPr>
            <w:tcW w:w="7218" w:type="dxa"/>
          </w:tcPr>
          <w:p w14:paraId="74E5D8F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Existing data will be used (see Data verification details p. 20-21).</w:t>
            </w:r>
          </w:p>
          <w:p w14:paraId="30C29F55" w14:textId="77777777" w:rsidR="00B10A77" w:rsidRPr="002D1216" w:rsidRDefault="00B10A77" w:rsidP="002B0F75">
            <w:pPr>
              <w:spacing w:line="360" w:lineRule="auto"/>
              <w:rPr>
                <w:rFonts w:ascii="Cambria" w:eastAsia="Calibri" w:hAnsi="Cambria" w:cs="Calibri"/>
                <w:color w:val="000000"/>
                <w:sz w:val="24"/>
                <w:szCs w:val="24"/>
              </w:rPr>
            </w:pPr>
          </w:p>
        </w:tc>
        <w:tc>
          <w:tcPr>
            <w:tcW w:w="655" w:type="dxa"/>
          </w:tcPr>
          <w:p w14:paraId="35673A8C"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p.20-21</w:t>
            </w:r>
          </w:p>
        </w:tc>
      </w:tr>
    </w:tbl>
    <w:p w14:paraId="6712C3D3" w14:textId="77777777" w:rsidR="00B10A77" w:rsidRPr="002D1216" w:rsidRDefault="00B10A77" w:rsidP="002B0F75">
      <w:pPr>
        <w:spacing w:after="0" w:line="360" w:lineRule="auto"/>
        <w:rPr>
          <w:rFonts w:ascii="Cambria" w:eastAsia="Calibri" w:hAnsi="Cambria" w:cs="Calibri"/>
          <w:color w:val="000000"/>
          <w:sz w:val="24"/>
          <w:szCs w:val="24"/>
        </w:rPr>
      </w:pPr>
    </w:p>
    <w:p w14:paraId="55EF67D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br w:type="page"/>
      </w:r>
    </w:p>
    <w:p w14:paraId="5C6F9C6A"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lastRenderedPageBreak/>
        <w:t xml:space="preserve">Table S3: Analyses Planner </w:t>
      </w:r>
    </w:p>
    <w:tbl>
      <w:tblPr>
        <w:tblStyle w:val="TableGrid"/>
        <w:tblW w:w="9523" w:type="dxa"/>
        <w:tblLayout w:type="fixed"/>
        <w:tblLook w:val="06A0" w:firstRow="1" w:lastRow="0" w:firstColumn="1" w:lastColumn="0" w:noHBand="1" w:noVBand="1"/>
      </w:tblPr>
      <w:tblGrid>
        <w:gridCol w:w="1435"/>
        <w:gridCol w:w="1710"/>
        <w:gridCol w:w="1980"/>
        <w:gridCol w:w="2250"/>
        <w:gridCol w:w="2148"/>
      </w:tblGrid>
      <w:tr w:rsidR="00B10A77" w:rsidRPr="002D1216" w14:paraId="5AF320B1" w14:textId="77777777" w:rsidTr="00BF4B86">
        <w:trPr>
          <w:trHeight w:val="863"/>
        </w:trPr>
        <w:tc>
          <w:tcPr>
            <w:tcW w:w="1435" w:type="dxa"/>
            <w:shd w:val="clear" w:color="auto" w:fill="E7E6E6" w:themeFill="background2"/>
          </w:tcPr>
          <w:p w14:paraId="40D06B45"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Question</w:t>
            </w:r>
          </w:p>
          <w:p w14:paraId="16B00AF7" w14:textId="77777777" w:rsidR="00B10A77" w:rsidRPr="002D1216" w:rsidRDefault="00B10A77" w:rsidP="002B0F75">
            <w:pPr>
              <w:spacing w:line="360" w:lineRule="auto"/>
              <w:rPr>
                <w:rFonts w:ascii="Cambria" w:eastAsia="Calibri" w:hAnsi="Cambria" w:cs="Calibri"/>
                <w:b/>
                <w:bCs/>
                <w:color w:val="000000"/>
                <w:sz w:val="24"/>
                <w:szCs w:val="24"/>
              </w:rPr>
            </w:pPr>
          </w:p>
        </w:tc>
        <w:tc>
          <w:tcPr>
            <w:tcW w:w="1710" w:type="dxa"/>
            <w:shd w:val="clear" w:color="auto" w:fill="E7E6E6" w:themeFill="background2"/>
          </w:tcPr>
          <w:p w14:paraId="7AA1517C"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Hypothesis</w:t>
            </w:r>
          </w:p>
          <w:p w14:paraId="19C00540" w14:textId="77777777" w:rsidR="00B10A77" w:rsidRPr="002D1216" w:rsidRDefault="00B10A77" w:rsidP="002B0F75">
            <w:pPr>
              <w:spacing w:line="360" w:lineRule="auto"/>
              <w:rPr>
                <w:rFonts w:ascii="Cambria" w:eastAsia="Calibri" w:hAnsi="Cambria" w:cs="Calibri"/>
                <w:b/>
                <w:bCs/>
                <w:color w:val="000000"/>
                <w:sz w:val="24"/>
                <w:szCs w:val="24"/>
              </w:rPr>
            </w:pPr>
          </w:p>
        </w:tc>
        <w:tc>
          <w:tcPr>
            <w:tcW w:w="1980" w:type="dxa"/>
            <w:shd w:val="clear" w:color="auto" w:fill="E7E6E6" w:themeFill="background2"/>
          </w:tcPr>
          <w:p w14:paraId="76961DD2"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Sampling plan (e.g.</w:t>
            </w:r>
          </w:p>
          <w:p w14:paraId="7802FC9E"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power analysis)</w:t>
            </w:r>
          </w:p>
          <w:p w14:paraId="25A23901" w14:textId="77777777" w:rsidR="00B10A77" w:rsidRPr="002D1216" w:rsidRDefault="00B10A77" w:rsidP="002B0F75">
            <w:pPr>
              <w:spacing w:line="360" w:lineRule="auto"/>
              <w:rPr>
                <w:rFonts w:ascii="Cambria" w:eastAsia="Calibri" w:hAnsi="Cambria" w:cs="Calibri"/>
                <w:b/>
                <w:bCs/>
                <w:color w:val="000000"/>
                <w:sz w:val="24"/>
                <w:szCs w:val="24"/>
              </w:rPr>
            </w:pPr>
          </w:p>
        </w:tc>
        <w:tc>
          <w:tcPr>
            <w:tcW w:w="2250" w:type="dxa"/>
            <w:shd w:val="clear" w:color="auto" w:fill="E7E6E6" w:themeFill="background2"/>
          </w:tcPr>
          <w:p w14:paraId="5B719BBA"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Analysis Plan</w:t>
            </w:r>
          </w:p>
        </w:tc>
        <w:tc>
          <w:tcPr>
            <w:tcW w:w="2148" w:type="dxa"/>
            <w:shd w:val="clear" w:color="auto" w:fill="E7E6E6" w:themeFill="background2"/>
          </w:tcPr>
          <w:p w14:paraId="30700989"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Interpretation given</w:t>
            </w:r>
          </w:p>
          <w:p w14:paraId="552A93E0"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different outcomes</w:t>
            </w:r>
          </w:p>
          <w:p w14:paraId="5D77E0AC" w14:textId="77777777" w:rsidR="00B10A77" w:rsidRPr="002D1216" w:rsidRDefault="00B10A77" w:rsidP="002B0F75">
            <w:pPr>
              <w:spacing w:line="360" w:lineRule="auto"/>
              <w:rPr>
                <w:rFonts w:ascii="Cambria" w:eastAsia="Calibri" w:hAnsi="Cambria" w:cs="Calibri"/>
                <w:b/>
                <w:bCs/>
                <w:color w:val="000000"/>
                <w:sz w:val="24"/>
                <w:szCs w:val="24"/>
              </w:rPr>
            </w:pPr>
          </w:p>
        </w:tc>
      </w:tr>
      <w:tr w:rsidR="00B10A77" w:rsidRPr="002D1216" w14:paraId="0CFA1C6C" w14:textId="77777777" w:rsidTr="00BF4B86">
        <w:trPr>
          <w:trHeight w:val="300"/>
        </w:trPr>
        <w:tc>
          <w:tcPr>
            <w:tcW w:w="1435" w:type="dxa"/>
          </w:tcPr>
          <w:p w14:paraId="3C3A09F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1) to examine the relationships between reported childhood adversity, anxiety, and pain;  </w:t>
            </w:r>
          </w:p>
          <w:p w14:paraId="199CC5D0" w14:textId="77777777" w:rsidR="00B10A77" w:rsidRPr="002D1216" w:rsidRDefault="00B10A77" w:rsidP="002B0F75">
            <w:pPr>
              <w:spacing w:line="360" w:lineRule="auto"/>
              <w:rPr>
                <w:rFonts w:ascii="Cambria" w:eastAsia="Calibri" w:hAnsi="Cambria" w:cs="Calibri"/>
                <w:color w:val="000000"/>
                <w:sz w:val="24"/>
                <w:szCs w:val="24"/>
              </w:rPr>
            </w:pPr>
          </w:p>
        </w:tc>
        <w:tc>
          <w:tcPr>
            <w:tcW w:w="1710" w:type="dxa"/>
          </w:tcPr>
          <w:p w14:paraId="2E5D6CD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It is hypothesized that childhood adversity relates to chronic pain experience in adulthood, and that there will be positive associations between childhood adversity and anxiety.</w:t>
            </w:r>
          </w:p>
        </w:tc>
        <w:tc>
          <w:tcPr>
            <w:tcW w:w="1980" w:type="dxa"/>
          </w:tcPr>
          <w:p w14:paraId="512466D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Post hoc power analysis, as applicable. Sampling N/A as this is a retrospective study using existing data</w:t>
            </w:r>
          </w:p>
        </w:tc>
        <w:tc>
          <w:tcPr>
            <w:tcW w:w="2250" w:type="dxa"/>
          </w:tcPr>
          <w:p w14:paraId="7C8B1D6C"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Structural equational modelling (SEM) as shown in </w:t>
            </w:r>
            <w:r w:rsidRPr="002D1216">
              <w:rPr>
                <w:rFonts w:ascii="Cambria" w:eastAsia="Calibri" w:hAnsi="Cambria" w:cs="Calibri"/>
                <w:b/>
                <w:bCs/>
                <w:color w:val="000000"/>
                <w:sz w:val="24"/>
                <w:szCs w:val="24"/>
              </w:rPr>
              <w:t xml:space="preserve">Figure 2, </w:t>
            </w:r>
            <w:r w:rsidRPr="002D1216">
              <w:rPr>
                <w:rFonts w:ascii="Cambria" w:eastAsia="Calibri" w:hAnsi="Cambria" w:cs="Calibri"/>
                <w:color w:val="000000"/>
                <w:sz w:val="24"/>
                <w:szCs w:val="24"/>
              </w:rPr>
              <w:t>followed by general linear modelling (GLM). The SEM will be built with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package version 0.6 (Rosseel 2012) in the R. The maximum likelihood parameter estimation method built into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xml:space="preserve">’ package will be used, as it is suitable for all-numerical data (including binary and Likert-scaled variables which </w:t>
            </w:r>
            <w:r w:rsidRPr="002D1216">
              <w:rPr>
                <w:rFonts w:ascii="Cambria" w:eastAsia="Calibri" w:hAnsi="Cambria" w:cs="Calibri"/>
                <w:color w:val="000000"/>
                <w:sz w:val="24"/>
                <w:szCs w:val="24"/>
              </w:rPr>
              <w:lastRenderedPageBreak/>
              <w:t>will be coded numerically as integers) with complete cases (Olsson et al. 2000).</w:t>
            </w:r>
          </w:p>
          <w:p w14:paraId="7FF4C313" w14:textId="77777777" w:rsidR="00B10A77" w:rsidRPr="002D1216" w:rsidRDefault="00B10A77" w:rsidP="002B0F75">
            <w:pPr>
              <w:spacing w:line="360" w:lineRule="auto"/>
              <w:rPr>
                <w:rFonts w:ascii="Cambria" w:eastAsia="Calibri" w:hAnsi="Cambria" w:cs="Calibri"/>
                <w:color w:val="000000"/>
                <w:sz w:val="24"/>
                <w:szCs w:val="24"/>
              </w:rPr>
            </w:pPr>
          </w:p>
          <w:p w14:paraId="6BECA01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IVs: Childhood adversity (CTQ), anxiety (, STAI); DVs: chronic pain in adulthood.</w:t>
            </w:r>
          </w:p>
        </w:tc>
        <w:tc>
          <w:tcPr>
            <w:tcW w:w="2148" w:type="dxa"/>
          </w:tcPr>
          <w:p w14:paraId="6FC5A93A"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We will use the SEM to develop a preliminary understanding of relationships between variables, followed by GLM regression using the variables in Table 1. If repeated iterations of the best SEM model fit cannot be achieved, controls and other variables will be reconsidered. If any of the regression models cannot be fitted, then relationships will be assessed using Spearman </w:t>
            </w:r>
            <w:r w:rsidRPr="002D1216">
              <w:rPr>
                <w:rFonts w:ascii="Cambria" w:eastAsia="Calibri" w:hAnsi="Cambria" w:cs="Calibri"/>
                <w:color w:val="000000"/>
                <w:sz w:val="24"/>
                <w:szCs w:val="24"/>
              </w:rPr>
              <w:lastRenderedPageBreak/>
              <w:t>correlations instead.</w:t>
            </w:r>
          </w:p>
        </w:tc>
      </w:tr>
      <w:tr w:rsidR="00B10A77" w:rsidRPr="002D1216" w14:paraId="5EDD5F1D" w14:textId="77777777" w:rsidTr="00BF4B86">
        <w:trPr>
          <w:trHeight w:val="300"/>
        </w:trPr>
        <w:tc>
          <w:tcPr>
            <w:tcW w:w="1435" w:type="dxa"/>
          </w:tcPr>
          <w:p w14:paraId="7221029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2) to assess the associations between childhood adversity, anxiety, inflammation (measured through CRP levels), and pain;</w:t>
            </w:r>
          </w:p>
        </w:tc>
        <w:tc>
          <w:tcPr>
            <w:tcW w:w="1710" w:type="dxa"/>
          </w:tcPr>
          <w:p w14:paraId="776C82B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There will be positive associations between childhood adversity and CRP levels. The link between childhood adversity and pain will be influenced by anxiety and/or CRP.</w:t>
            </w:r>
          </w:p>
        </w:tc>
        <w:tc>
          <w:tcPr>
            <w:tcW w:w="1980" w:type="dxa"/>
          </w:tcPr>
          <w:p w14:paraId="18E0757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Post hoc power analysis, as applicable. Sampling N/A as this is a retrospective study using existing patient records</w:t>
            </w:r>
          </w:p>
        </w:tc>
        <w:tc>
          <w:tcPr>
            <w:tcW w:w="2250" w:type="dxa"/>
          </w:tcPr>
          <w:p w14:paraId="7607F46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SEM as noted above and in </w:t>
            </w:r>
            <w:r w:rsidRPr="002D1216">
              <w:rPr>
                <w:rFonts w:ascii="Cambria" w:eastAsia="Calibri" w:hAnsi="Cambria" w:cs="Calibri"/>
                <w:b/>
                <w:bCs/>
                <w:color w:val="000000"/>
                <w:sz w:val="24"/>
                <w:szCs w:val="24"/>
              </w:rPr>
              <w:t>Figure 2</w:t>
            </w:r>
            <w:r w:rsidRPr="002D1216">
              <w:rPr>
                <w:rFonts w:ascii="Cambria" w:eastAsia="Calibri" w:hAnsi="Cambria" w:cs="Calibri"/>
                <w:color w:val="000000"/>
                <w:sz w:val="24"/>
                <w:szCs w:val="24"/>
              </w:rPr>
              <w:t>, GLM, spearman correlations, and sensitivity analysis.</w:t>
            </w:r>
          </w:p>
          <w:p w14:paraId="2A372161" w14:textId="77777777" w:rsidR="00B10A77" w:rsidRPr="002D1216" w:rsidRDefault="00B10A77" w:rsidP="002B0F75">
            <w:pPr>
              <w:spacing w:line="360" w:lineRule="auto"/>
              <w:rPr>
                <w:rFonts w:ascii="Cambria" w:eastAsia="Calibri" w:hAnsi="Cambria" w:cs="Calibri"/>
                <w:color w:val="000000"/>
                <w:sz w:val="24"/>
                <w:szCs w:val="24"/>
              </w:rPr>
            </w:pPr>
          </w:p>
          <w:p w14:paraId="20084EB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IVs: Childhood adversity (CTQ), anxiety (STAI), CRP (blood CRP); DVs: chronic pain in adulthood</w:t>
            </w:r>
          </w:p>
          <w:p w14:paraId="79BFCEF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(per specific pain questions).</w:t>
            </w:r>
          </w:p>
        </w:tc>
        <w:tc>
          <w:tcPr>
            <w:tcW w:w="2148" w:type="dxa"/>
          </w:tcPr>
          <w:p w14:paraId="4E72C9F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We expect the SEM to help explore and visualize the hypothetical relationships and show how observed and latent variables for childhood adversity, anxiety, inflammation, and chronic pain, and observed socioeconomic variables directionally affect each other.</w:t>
            </w:r>
          </w:p>
          <w:p w14:paraId="24BA0D07"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We expect the GLM to show the potential effect of ACEs, anxiety, and CRP on predicting chronic pain experience. If Spearman correlation is needed, we expect the coefficients on each possible pair of variables showing how strongly and in what direction each pair is related.</w:t>
            </w:r>
          </w:p>
          <w:p w14:paraId="10927D4B"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Additional sensitivity analyses will be conducted excluding those with CRP levels &gt;10 to test the validity of the model.</w:t>
            </w:r>
          </w:p>
        </w:tc>
      </w:tr>
      <w:tr w:rsidR="00B10A77" w:rsidRPr="002D1216" w14:paraId="3023F98B" w14:textId="77777777" w:rsidTr="00BF4B86">
        <w:trPr>
          <w:trHeight w:val="300"/>
        </w:trPr>
        <w:tc>
          <w:tcPr>
            <w:tcW w:w="1435" w:type="dxa"/>
          </w:tcPr>
          <w:p w14:paraId="6D96D69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3) to explore how </w:t>
            </w:r>
            <w:r w:rsidRPr="002D1216">
              <w:rPr>
                <w:rFonts w:ascii="Cambria" w:eastAsia="Calibri" w:hAnsi="Cambria" w:cs="Calibri"/>
                <w:color w:val="000000"/>
                <w:sz w:val="24"/>
                <w:szCs w:val="24"/>
              </w:rPr>
              <w:lastRenderedPageBreak/>
              <w:t>childhood adversity, anxiety, and CRP may be associated with pain medication consumption in the United States as a proxy for chronic pain as a health outcome.</w:t>
            </w:r>
          </w:p>
        </w:tc>
        <w:tc>
          <w:tcPr>
            <w:tcW w:w="1710" w:type="dxa"/>
          </w:tcPr>
          <w:p w14:paraId="4EB25C4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Although objective 3 is exploratory, it </w:t>
            </w:r>
            <w:r w:rsidRPr="002D1216">
              <w:rPr>
                <w:rFonts w:ascii="Cambria" w:eastAsia="Calibri" w:hAnsi="Cambria" w:cs="Calibri"/>
                <w:color w:val="000000"/>
                <w:sz w:val="24"/>
                <w:szCs w:val="24"/>
              </w:rPr>
              <w:lastRenderedPageBreak/>
              <w:t>is hypothesized that childhood adversity, anxiety, and CRP will all be positively associated with increased pain medication consumption in the United States.</w:t>
            </w:r>
          </w:p>
        </w:tc>
        <w:tc>
          <w:tcPr>
            <w:tcW w:w="1980" w:type="dxa"/>
          </w:tcPr>
          <w:p w14:paraId="2B8A12E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Post hoc power analysis, as applicable. </w:t>
            </w:r>
            <w:r w:rsidRPr="002D1216">
              <w:rPr>
                <w:rFonts w:ascii="Cambria" w:eastAsia="Calibri" w:hAnsi="Cambria" w:cs="Calibri"/>
                <w:color w:val="000000"/>
                <w:sz w:val="24"/>
                <w:szCs w:val="24"/>
              </w:rPr>
              <w:lastRenderedPageBreak/>
              <w:t>Sampling N/A as this is a retrospective study using existing patient records</w:t>
            </w:r>
          </w:p>
        </w:tc>
        <w:tc>
          <w:tcPr>
            <w:tcW w:w="2250" w:type="dxa"/>
          </w:tcPr>
          <w:p w14:paraId="6B03702B"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An additional exploratory regression on the </w:t>
            </w:r>
            <w:r w:rsidRPr="002D1216">
              <w:rPr>
                <w:rFonts w:ascii="Cambria" w:eastAsia="Calibri" w:hAnsi="Cambria" w:cs="Calibri"/>
                <w:color w:val="000000"/>
                <w:sz w:val="24"/>
                <w:szCs w:val="24"/>
              </w:rPr>
              <w:lastRenderedPageBreak/>
              <w:t>subset of respondents who experience chronic pain.</w:t>
            </w:r>
          </w:p>
          <w:p w14:paraId="7DF31C6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IVs: Childhood adversity (CTQ), anxiety (STAI), CRP (blood CRP); DVs: chronic pain in adulthood, pain medication use</w:t>
            </w:r>
          </w:p>
          <w:p w14:paraId="729676B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(per specific pain questions). </w:t>
            </w:r>
          </w:p>
          <w:p w14:paraId="1154FA5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All variables will also be tested as possible independent variables for the pain medication regression.</w:t>
            </w:r>
          </w:p>
        </w:tc>
        <w:tc>
          <w:tcPr>
            <w:tcW w:w="2148" w:type="dxa"/>
          </w:tcPr>
          <w:p w14:paraId="041577F6"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We will conduct exploratory regression and </w:t>
            </w:r>
            <w:r w:rsidRPr="002D1216">
              <w:rPr>
                <w:rFonts w:ascii="Cambria" w:eastAsia="Calibri" w:hAnsi="Cambria" w:cs="Calibri"/>
                <w:color w:val="000000"/>
                <w:sz w:val="24"/>
                <w:szCs w:val="24"/>
              </w:rPr>
              <w:lastRenderedPageBreak/>
              <w:t xml:space="preserve">expect it will show how or if childhood adversity, anxiety, and inflammation predict pain medication usage for chronic pain. </w:t>
            </w:r>
          </w:p>
          <w:p w14:paraId="46A7D85B" w14:textId="77777777" w:rsidR="00B10A77" w:rsidRPr="002D1216" w:rsidRDefault="00B10A77" w:rsidP="002B0F75">
            <w:pPr>
              <w:spacing w:line="360" w:lineRule="auto"/>
              <w:rPr>
                <w:rFonts w:ascii="Cambria" w:eastAsia="Calibri" w:hAnsi="Cambria" w:cs="Calibri"/>
                <w:color w:val="000000"/>
                <w:sz w:val="24"/>
                <w:szCs w:val="24"/>
              </w:rPr>
            </w:pPr>
          </w:p>
        </w:tc>
      </w:tr>
    </w:tbl>
    <w:p w14:paraId="6F292535" w14:textId="77777777" w:rsidR="00B10A77" w:rsidRPr="002D1216" w:rsidRDefault="00B10A77" w:rsidP="002B0F75">
      <w:pPr>
        <w:spacing w:after="0" w:line="360" w:lineRule="auto"/>
        <w:rPr>
          <w:rFonts w:ascii="Cambria" w:eastAsia="Calibri" w:hAnsi="Cambria" w:cs="Calibri"/>
          <w:color w:val="000000"/>
          <w:sz w:val="24"/>
          <w:szCs w:val="24"/>
        </w:rPr>
      </w:pPr>
    </w:p>
    <w:p w14:paraId="188548AF" w14:textId="77777777" w:rsidR="00B10A77" w:rsidRPr="002D1216" w:rsidRDefault="00B10A77" w:rsidP="002B0F75">
      <w:pPr>
        <w:spacing w:after="0" w:line="360" w:lineRule="auto"/>
        <w:rPr>
          <w:rFonts w:ascii="Cambria" w:eastAsia="Calibri" w:hAnsi="Cambria" w:cs="Calibri"/>
          <w:color w:val="000000"/>
          <w:sz w:val="24"/>
          <w:szCs w:val="24"/>
        </w:rPr>
      </w:pPr>
    </w:p>
    <w:p w14:paraId="4C4220BD"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Table S4. Desiderata for Structural Equation Modelling</w:t>
      </w:r>
    </w:p>
    <w:tbl>
      <w:tblPr>
        <w:tblStyle w:val="TableGrid"/>
        <w:tblW w:w="9445" w:type="dxa"/>
        <w:tblLook w:val="04A0" w:firstRow="1" w:lastRow="0" w:firstColumn="1" w:lastColumn="0" w:noHBand="0" w:noVBand="1"/>
      </w:tblPr>
      <w:tblGrid>
        <w:gridCol w:w="3467"/>
        <w:gridCol w:w="4363"/>
        <w:gridCol w:w="1615"/>
      </w:tblGrid>
      <w:tr w:rsidR="00B10A77" w:rsidRPr="002D1216" w14:paraId="62E2F6DF" w14:textId="77777777" w:rsidTr="00BF4B86">
        <w:tc>
          <w:tcPr>
            <w:tcW w:w="3505" w:type="dxa"/>
            <w:shd w:val="clear" w:color="auto" w:fill="E7E6E6" w:themeFill="background2"/>
          </w:tcPr>
          <w:p w14:paraId="1FEED139"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Checklist item</w:t>
            </w:r>
          </w:p>
        </w:tc>
        <w:tc>
          <w:tcPr>
            <w:tcW w:w="4410" w:type="dxa"/>
            <w:shd w:val="clear" w:color="auto" w:fill="E7E6E6" w:themeFill="background2"/>
          </w:tcPr>
          <w:p w14:paraId="27DD3407"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Supporting text from report</w:t>
            </w:r>
          </w:p>
        </w:tc>
        <w:tc>
          <w:tcPr>
            <w:tcW w:w="1530" w:type="dxa"/>
            <w:shd w:val="clear" w:color="auto" w:fill="E7E6E6" w:themeFill="background2"/>
          </w:tcPr>
          <w:p w14:paraId="6C21AC7C"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Section (B = Background, M = Method) page.</w:t>
            </w:r>
          </w:p>
        </w:tc>
      </w:tr>
      <w:tr w:rsidR="00B10A77" w:rsidRPr="002D1216" w14:paraId="1DC2C58F" w14:textId="77777777" w:rsidTr="00BF4B86">
        <w:tc>
          <w:tcPr>
            <w:tcW w:w="3505" w:type="dxa"/>
          </w:tcPr>
          <w:p w14:paraId="3825C38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1. Substantive theories that led to the model(s) being investigated are synthesized; a </w:t>
            </w:r>
            <w:r w:rsidRPr="002D1216">
              <w:rPr>
                <w:rFonts w:ascii="Cambria" w:eastAsia="Calibri" w:hAnsi="Cambria" w:cs="Calibri"/>
                <w:color w:val="000000"/>
                <w:sz w:val="24"/>
                <w:szCs w:val="24"/>
              </w:rPr>
              <w:lastRenderedPageBreak/>
              <w:t>set of a priori specified competing models is generally preferred.</w:t>
            </w:r>
          </w:p>
        </w:tc>
        <w:tc>
          <w:tcPr>
            <w:tcW w:w="4410" w:type="dxa"/>
          </w:tcPr>
          <w:p w14:paraId="1BCA9E7C"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Chronic pain is expected to be influenced by anxiety, physiological response, and childhood adversity </w:t>
            </w:r>
            <w:r w:rsidRPr="002D1216">
              <w:rPr>
                <w:rFonts w:ascii="Cambria" w:eastAsia="Calibri" w:hAnsi="Cambria" w:cs="Calibri"/>
                <w:color w:val="000000"/>
                <w:sz w:val="24"/>
                <w:szCs w:val="24"/>
              </w:rPr>
              <w:lastRenderedPageBreak/>
              <w:t xml:space="preserve">based on previous studies examining relationships among them (see </w:t>
            </w:r>
            <w:r w:rsidRPr="002D1216">
              <w:rPr>
                <w:rFonts w:ascii="Cambria" w:eastAsia="Calibri" w:hAnsi="Cambria" w:cs="Calibri"/>
                <w:b/>
                <w:bCs/>
                <w:color w:val="000000"/>
                <w:sz w:val="24"/>
                <w:szCs w:val="24"/>
              </w:rPr>
              <w:t>Background</w:t>
            </w:r>
            <w:r w:rsidRPr="002D1216">
              <w:rPr>
                <w:rFonts w:ascii="Cambria" w:eastAsia="Calibri" w:hAnsi="Cambria" w:cs="Calibri"/>
                <w:color w:val="000000"/>
                <w:sz w:val="24"/>
                <w:szCs w:val="24"/>
              </w:rPr>
              <w:t xml:space="preserve"> section).</w:t>
            </w:r>
          </w:p>
        </w:tc>
        <w:tc>
          <w:tcPr>
            <w:tcW w:w="1530" w:type="dxa"/>
          </w:tcPr>
          <w:p w14:paraId="472EB45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B, M</w:t>
            </w:r>
          </w:p>
          <w:p w14:paraId="65CA524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p.4-5, 14</w:t>
            </w:r>
          </w:p>
        </w:tc>
      </w:tr>
      <w:tr w:rsidR="00B10A77" w:rsidRPr="002D1216" w14:paraId="30668867" w14:textId="77777777" w:rsidTr="00BF4B86">
        <w:tc>
          <w:tcPr>
            <w:tcW w:w="3505" w:type="dxa"/>
          </w:tcPr>
          <w:p w14:paraId="5421C40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 Path diagrams are presented to facilitate the understanding of the conceptual model(s) and the specification of the statistical model(s).</w:t>
            </w:r>
          </w:p>
        </w:tc>
        <w:tc>
          <w:tcPr>
            <w:tcW w:w="4410" w:type="dxa"/>
          </w:tcPr>
          <w:p w14:paraId="2E6A52E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path diagram of the planned SEM is shown in Figure 2. In this model the exogenous latent variables for anxiety, physiological response, and childhood adversity predict the endogenous latent variable for chronic pain.</w:t>
            </w:r>
          </w:p>
        </w:tc>
        <w:tc>
          <w:tcPr>
            <w:tcW w:w="1530" w:type="dxa"/>
          </w:tcPr>
          <w:p w14:paraId="3FFA51C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w:t>
            </w:r>
          </w:p>
          <w:p w14:paraId="011F7F6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p.14</w:t>
            </w:r>
          </w:p>
        </w:tc>
      </w:tr>
      <w:tr w:rsidR="00B10A77" w:rsidRPr="002D1216" w14:paraId="73D5C1CC" w14:textId="77777777" w:rsidTr="00BF4B86">
        <w:tc>
          <w:tcPr>
            <w:tcW w:w="3505" w:type="dxa"/>
          </w:tcPr>
          <w:p w14:paraId="688B9AED"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 If applicable, latent factors are defined and their status as latent (vs. emergent) is justified.</w:t>
            </w:r>
          </w:p>
        </w:tc>
        <w:tc>
          <w:tcPr>
            <w:tcW w:w="4410" w:type="dxa"/>
          </w:tcPr>
          <w:p w14:paraId="4EC374B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An individual’s physiological response to stress, level of anxiety, experience of childhood adversity, and feeling of chronic pain cannot be directly measured; hence they are latent variables. Though these variables cannot be directly observed or measured (but are approximated through various measures), they are causally related to appropriate indicator variables present in the MIDUS data (Table 1), which were designed to measure aspects of the trait of interest.</w:t>
            </w:r>
          </w:p>
        </w:tc>
        <w:tc>
          <w:tcPr>
            <w:tcW w:w="1530" w:type="dxa"/>
          </w:tcPr>
          <w:p w14:paraId="3B606C6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w:t>
            </w:r>
          </w:p>
          <w:p w14:paraId="7D2AF3B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p.14</w:t>
            </w:r>
          </w:p>
        </w:tc>
      </w:tr>
      <w:tr w:rsidR="00B10A77" w:rsidRPr="002D1216" w14:paraId="44FD01DF" w14:textId="77777777" w:rsidTr="00BF4B86">
        <w:tc>
          <w:tcPr>
            <w:tcW w:w="3505" w:type="dxa"/>
          </w:tcPr>
          <w:p w14:paraId="6A78A006"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4. Measured variables are defined and, if applicable, their appropriateness as indicator variables of associated factors is justified.</w:t>
            </w:r>
          </w:p>
        </w:tc>
        <w:tc>
          <w:tcPr>
            <w:tcW w:w="4410" w:type="dxa"/>
          </w:tcPr>
          <w:p w14:paraId="309FFC3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Though these variables cannot be directly observed or measured (but are approximated through various measures), they are causally related to appropriate indicator variables present in the MIDUS data (Table 1), which were designed to measure aspects of the trait of interest.</w:t>
            </w:r>
          </w:p>
          <w:p w14:paraId="049AC0DE" w14:textId="77777777" w:rsidR="00B10A77" w:rsidRPr="002D1216" w:rsidRDefault="00B10A77" w:rsidP="002B0F75">
            <w:pPr>
              <w:spacing w:line="360" w:lineRule="auto"/>
              <w:rPr>
                <w:rFonts w:ascii="Cambria" w:eastAsia="Calibri" w:hAnsi="Cambria" w:cs="Calibri"/>
                <w:color w:val="000000"/>
                <w:sz w:val="24"/>
                <w:szCs w:val="24"/>
              </w:rPr>
            </w:pPr>
          </w:p>
          <w:p w14:paraId="3FE5A8B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Indicator variables are included in the model as per their MIDUS data dictionary definition, with the exception of the reported experience of chronic pain variable. This variable is derived from the series of pain variables in Table 1. It is modelled as a binary variable that indicates if the participant did or did not have chronic pain, as detailed in the Measures description for pain.</w:t>
            </w:r>
          </w:p>
        </w:tc>
        <w:tc>
          <w:tcPr>
            <w:tcW w:w="1530" w:type="dxa"/>
          </w:tcPr>
          <w:p w14:paraId="68854FF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M</w:t>
            </w:r>
          </w:p>
          <w:p w14:paraId="5D58888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p.14</w:t>
            </w:r>
          </w:p>
          <w:p w14:paraId="287A4A75" w14:textId="77777777" w:rsidR="00B10A77" w:rsidRPr="002D1216" w:rsidRDefault="00B10A77" w:rsidP="002B0F75">
            <w:pPr>
              <w:spacing w:line="360" w:lineRule="auto"/>
              <w:rPr>
                <w:rFonts w:ascii="Cambria" w:eastAsia="Calibri" w:hAnsi="Cambria" w:cs="Calibri"/>
                <w:color w:val="000000"/>
                <w:sz w:val="24"/>
                <w:szCs w:val="24"/>
              </w:rPr>
            </w:pPr>
          </w:p>
          <w:p w14:paraId="768732CF" w14:textId="77777777" w:rsidR="00B10A77" w:rsidRPr="002D1216" w:rsidRDefault="00B10A77" w:rsidP="002B0F75">
            <w:pPr>
              <w:spacing w:line="360" w:lineRule="auto"/>
              <w:rPr>
                <w:rFonts w:ascii="Cambria" w:eastAsia="Calibri" w:hAnsi="Cambria" w:cs="Calibri"/>
                <w:color w:val="000000"/>
                <w:sz w:val="24"/>
                <w:szCs w:val="24"/>
              </w:rPr>
            </w:pPr>
          </w:p>
          <w:p w14:paraId="3BB513E7" w14:textId="77777777" w:rsidR="00B10A77" w:rsidRPr="002D1216" w:rsidRDefault="00B10A77" w:rsidP="002B0F75">
            <w:pPr>
              <w:spacing w:line="360" w:lineRule="auto"/>
              <w:rPr>
                <w:rFonts w:ascii="Cambria" w:eastAsia="Calibri" w:hAnsi="Cambria" w:cs="Calibri"/>
                <w:color w:val="000000"/>
                <w:sz w:val="24"/>
                <w:szCs w:val="24"/>
              </w:rPr>
            </w:pPr>
          </w:p>
          <w:p w14:paraId="2CC9638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p15</w:t>
            </w:r>
          </w:p>
        </w:tc>
      </w:tr>
      <w:tr w:rsidR="00B10A77" w:rsidRPr="002D1216" w14:paraId="4074F314" w14:textId="77777777" w:rsidTr="00BF4B86">
        <w:tc>
          <w:tcPr>
            <w:tcW w:w="3505" w:type="dxa"/>
          </w:tcPr>
          <w:p w14:paraId="393DA63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 Latent factors are indicated by a sufficient number of appropriate measured variables; how the latent factors are given scale within the model(s) is addressed.</w:t>
            </w:r>
          </w:p>
        </w:tc>
        <w:tc>
          <w:tcPr>
            <w:tcW w:w="4410" w:type="dxa"/>
          </w:tcPr>
          <w:p w14:paraId="0D1DB25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Childhood adversity can represent a wide variety of experiences, so a variety of representative measured variables from the MIDUS data were chosen: CTQ: Emotional Abuse, CTQ: Physical Abuse, CTQ: Sexual Abuse, CTQ: Emotional Neglect, CTQ: Physical Neglect, and CTQ: Minimization/Denial. The scale of latent factor variables is assumed and handled to be the same as the scale of the corresponding indicator variables. In the case of more than one indicator variable (childhood adversity latent factor), the CTQ indicator variables are all on the same 5-point Likert scale, so this assumption holds.</w:t>
            </w:r>
          </w:p>
        </w:tc>
        <w:tc>
          <w:tcPr>
            <w:tcW w:w="1530" w:type="dxa"/>
          </w:tcPr>
          <w:p w14:paraId="475090B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w:t>
            </w:r>
          </w:p>
          <w:p w14:paraId="78CBE09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p.15</w:t>
            </w:r>
          </w:p>
        </w:tc>
      </w:tr>
      <w:tr w:rsidR="00B10A77" w:rsidRPr="002D1216" w14:paraId="419AF710" w14:textId="77777777" w:rsidTr="00BF4B86">
        <w:tc>
          <w:tcPr>
            <w:tcW w:w="3505" w:type="dxa"/>
          </w:tcPr>
          <w:p w14:paraId="619E0C79"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 xml:space="preserve">6. How theoretically relevant control variables are integrated into the model is explained. </w:t>
            </w:r>
          </w:p>
        </w:tc>
        <w:tc>
          <w:tcPr>
            <w:tcW w:w="4410" w:type="dxa"/>
          </w:tcPr>
          <w:p w14:paraId="07515F5E"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In addition to the latent factors and associated indicator variables, socio-economic control variables available in the MIDUS data (Table 1) are included as predictors of inflammation (CRP). These control variables are linked to CRP and the physiological response to chronic pain as an individual with worse socio-economic circumstances is expected to have a higher degree of inflammation. The control variable for race will be coded as binary variables (e.g. ‘is white race’ and ‘is black race’, the two most common categories in the data), as categorical variables with multiple categories cannot be included easily in an SEM.</w:t>
            </w:r>
          </w:p>
        </w:tc>
        <w:tc>
          <w:tcPr>
            <w:tcW w:w="1530" w:type="dxa"/>
          </w:tcPr>
          <w:p w14:paraId="57C451B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w:t>
            </w:r>
          </w:p>
          <w:p w14:paraId="217FDF0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p.16</w:t>
            </w:r>
          </w:p>
        </w:tc>
      </w:tr>
      <w:tr w:rsidR="00B10A77" w:rsidRPr="002D1216" w14:paraId="6F202F31" w14:textId="77777777" w:rsidTr="00BF4B86">
        <w:tc>
          <w:tcPr>
            <w:tcW w:w="3505" w:type="dxa"/>
          </w:tcPr>
          <w:p w14:paraId="7105088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7. Sampling method(s) and sample size(s) are explicated and justified. </w:t>
            </w:r>
          </w:p>
        </w:tc>
        <w:tc>
          <w:tcPr>
            <w:tcW w:w="4410" w:type="dxa"/>
          </w:tcPr>
          <w:p w14:paraId="6924726A"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entire MIDUS sample of 1,255 participants as detailed in the Dataset and Participants section is used, with cases missing any indicator or control variables dropped from the sample. The maximum likelihood parameter estimation method built into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xml:space="preserve">’ package will be used, as it is suitable for all-numerical data (including binary and Likert-scaled variables which will be coded numerically as integers) with complete cases (Olsson et al. 2000). The maximum likelihood method assumes </w:t>
            </w:r>
            <w:r w:rsidRPr="002D1216">
              <w:rPr>
                <w:rFonts w:ascii="Cambria" w:eastAsia="Calibri" w:hAnsi="Cambria" w:cs="Calibri"/>
                <w:color w:val="000000"/>
                <w:sz w:val="24"/>
                <w:szCs w:val="24"/>
              </w:rPr>
              <w:lastRenderedPageBreak/>
              <w:t>data is multivariate normally distributed, and this assumption will be tested on the MIDUS data. If the data is found to not be normally distributed, the ‘robust’ version of the maximum likelihood parameter estimation method will be used, which does not rely on the normality assumption and provides robust standard errors and a scaled test statistic (Yuan &amp; Bentler 2007).</w:t>
            </w:r>
          </w:p>
        </w:tc>
        <w:tc>
          <w:tcPr>
            <w:tcW w:w="1530" w:type="dxa"/>
          </w:tcPr>
          <w:p w14:paraId="36462AD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M</w:t>
            </w:r>
          </w:p>
          <w:p w14:paraId="3CE66E3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p.16</w:t>
            </w:r>
          </w:p>
        </w:tc>
      </w:tr>
      <w:tr w:rsidR="00B10A77" w:rsidRPr="002D1216" w14:paraId="123AD645" w14:textId="77777777" w:rsidTr="00BF4B86">
        <w:tc>
          <w:tcPr>
            <w:tcW w:w="3505" w:type="dxa"/>
          </w:tcPr>
          <w:p w14:paraId="40BF4F81"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8. The treatment of missing data and outliers is addressed.</w:t>
            </w:r>
          </w:p>
        </w:tc>
        <w:tc>
          <w:tcPr>
            <w:tcW w:w="4410" w:type="dxa"/>
          </w:tcPr>
          <w:p w14:paraId="0659E68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Missing data in the control and measured variables is coded according to the method detailed in the Analysis Plan section. The entire MIDUS sample of 1,255 participants as detailed in the Dataset and Participants section is used, with cases missing any indicator or control variables dropped from the sample. Any records where one or more parameters are missing will be dropped from the regression model.</w:t>
            </w:r>
          </w:p>
          <w:p w14:paraId="41EC7FC9"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For outliers in the overall scale variables such as the CTQ, a value &gt; 97 will be recoded to missing, as per the MIDUS data dictionary (Ryff et al. 2021). For subscale variables, e.g., on a 1 to 5 Likert scale, a value &gt; 7 will be recoded to missing as per the data dictionary. Control variables for income having </w:t>
            </w:r>
            <w:r w:rsidRPr="002D1216">
              <w:rPr>
                <w:rFonts w:ascii="Cambria" w:eastAsia="Calibri" w:hAnsi="Cambria" w:cs="Calibri"/>
                <w:color w:val="000000"/>
                <w:sz w:val="24"/>
                <w:szCs w:val="24"/>
              </w:rPr>
              <w:lastRenderedPageBreak/>
              <w:t>values 9999998 and -1 and racial origins having value 7 will be recoded as “NA” as per the MIDUS data dictionary (Ryff et al. 2021).</w:t>
            </w:r>
          </w:p>
        </w:tc>
        <w:tc>
          <w:tcPr>
            <w:tcW w:w="1530" w:type="dxa"/>
          </w:tcPr>
          <w:p w14:paraId="28EF203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lastRenderedPageBreak/>
              <w:t>M</w:t>
            </w:r>
          </w:p>
          <w:p w14:paraId="78B35117"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p.16</w:t>
            </w:r>
          </w:p>
        </w:tc>
      </w:tr>
      <w:tr w:rsidR="00B10A77" w:rsidRPr="002D1216" w14:paraId="13799D1D" w14:textId="77777777" w:rsidTr="00BF4B86">
        <w:tc>
          <w:tcPr>
            <w:tcW w:w="3505" w:type="dxa"/>
          </w:tcPr>
          <w:p w14:paraId="763AD2BB"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9. The name and version of the utilized software package is reported; the parameter estimation method is justified and its underlying assumptions are addressed.</w:t>
            </w:r>
          </w:p>
        </w:tc>
        <w:tc>
          <w:tcPr>
            <w:tcW w:w="4410" w:type="dxa"/>
          </w:tcPr>
          <w:p w14:paraId="49B33C9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SEM will be built with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xml:space="preserve">’ package version 0.6 (Rosseel 2012) in the R programming language, version 4.3 (R Core Team 2021). </w:t>
            </w:r>
          </w:p>
          <w:p w14:paraId="7C27E24A"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The maximum likelihood parameter estimation method built into the ‘</w:t>
            </w:r>
            <w:proofErr w:type="spellStart"/>
            <w:r w:rsidRPr="002D1216">
              <w:rPr>
                <w:rFonts w:ascii="Cambria" w:eastAsia="Calibri" w:hAnsi="Cambria" w:cs="Calibri"/>
                <w:color w:val="000000"/>
                <w:sz w:val="24"/>
                <w:szCs w:val="24"/>
              </w:rPr>
              <w:t>lavaan</w:t>
            </w:r>
            <w:proofErr w:type="spellEnd"/>
            <w:r w:rsidRPr="002D1216">
              <w:rPr>
                <w:rFonts w:ascii="Cambria" w:eastAsia="Calibri" w:hAnsi="Cambria" w:cs="Calibri"/>
                <w:color w:val="000000"/>
                <w:sz w:val="24"/>
                <w:szCs w:val="24"/>
              </w:rPr>
              <w:t>’ package will be used, as it is suitable for all-numerical data (including binary and Likert-scaled variables which will be coded numerically as integers) with complete cases (Olsson et al. 2000).</w:t>
            </w:r>
          </w:p>
        </w:tc>
        <w:tc>
          <w:tcPr>
            <w:tcW w:w="1530" w:type="dxa"/>
          </w:tcPr>
          <w:p w14:paraId="212119A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M</w:t>
            </w:r>
          </w:p>
          <w:p w14:paraId="0DE1334C"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p.16</w:t>
            </w:r>
          </w:p>
        </w:tc>
      </w:tr>
    </w:tbl>
    <w:p w14:paraId="3B8D2559" w14:textId="77777777" w:rsidR="00B10A77" w:rsidRPr="002D1216" w:rsidRDefault="00B10A77" w:rsidP="002B0F75">
      <w:pPr>
        <w:spacing w:after="0" w:line="360" w:lineRule="auto"/>
        <w:rPr>
          <w:rFonts w:ascii="Cambria" w:eastAsia="Calibri" w:hAnsi="Cambria" w:cs="Calibri"/>
          <w:color w:val="000000"/>
          <w:sz w:val="24"/>
          <w:szCs w:val="24"/>
        </w:rPr>
      </w:pPr>
    </w:p>
    <w:p w14:paraId="237F3405" w14:textId="7263CB0F" w:rsidR="13B33B62" w:rsidRDefault="13B33B62" w:rsidP="002B0F75">
      <w:pPr>
        <w:spacing w:line="360" w:lineRule="auto"/>
      </w:pPr>
      <w:r>
        <w:br w:type="page"/>
      </w:r>
    </w:p>
    <w:p w14:paraId="30DE8992" w14:textId="4273489B" w:rsidR="00B10A77" w:rsidRPr="002D1216" w:rsidRDefault="4971825D" w:rsidP="002B0F75">
      <w:pPr>
        <w:spacing w:after="0" w:line="360" w:lineRule="auto"/>
        <w:rPr>
          <w:rFonts w:ascii="Cambria" w:eastAsia="Calibri" w:hAnsi="Cambria" w:cs="Calibri"/>
          <w:b/>
          <w:bCs/>
          <w:color w:val="000000"/>
          <w:sz w:val="24"/>
          <w:szCs w:val="24"/>
        </w:rPr>
      </w:pPr>
      <w:r w:rsidRPr="13B33B62">
        <w:rPr>
          <w:rFonts w:ascii="Cambria" w:eastAsia="Calibri" w:hAnsi="Cambria" w:cs="Calibri"/>
          <w:b/>
          <w:bCs/>
          <w:color w:val="000000" w:themeColor="text1"/>
          <w:sz w:val="24"/>
          <w:szCs w:val="24"/>
        </w:rPr>
        <w:lastRenderedPageBreak/>
        <w:t>Appendix B Sensitivity analysis</w:t>
      </w:r>
    </w:p>
    <w:p w14:paraId="64506F64"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Table S5: CRP as a predictor along with its interactions, sensitivity analysis with participants with CRP ≥ 10.0 excluded</w:t>
      </w:r>
    </w:p>
    <w:tbl>
      <w:tblPr>
        <w:tblW w:w="9144" w:type="dxa"/>
        <w:jc w:val="center"/>
        <w:tblLayout w:type="fixed"/>
        <w:tblLook w:val="0420" w:firstRow="1" w:lastRow="0" w:firstColumn="0" w:lastColumn="0" w:noHBand="0" w:noVBand="1"/>
      </w:tblPr>
      <w:tblGrid>
        <w:gridCol w:w="3960"/>
        <w:gridCol w:w="1440"/>
        <w:gridCol w:w="1440"/>
        <w:gridCol w:w="864"/>
        <w:gridCol w:w="864"/>
        <w:gridCol w:w="576"/>
      </w:tblGrid>
      <w:tr w:rsidR="00B10A77" w:rsidRPr="002D1216" w14:paraId="6AA95626" w14:textId="77777777" w:rsidTr="00BF4B86">
        <w:trPr>
          <w:tblHeader/>
          <w:jc w:val="center"/>
        </w:trPr>
        <w:tc>
          <w:tcPr>
            <w:tcW w:w="396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CCE48D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Variable</w:t>
            </w:r>
          </w:p>
        </w:tc>
        <w:tc>
          <w:tcPr>
            <w:tcW w:w="144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0CE119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Estimate</w:t>
            </w:r>
          </w:p>
        </w:tc>
        <w:tc>
          <w:tcPr>
            <w:tcW w:w="144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C8596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Std. Error</w:t>
            </w:r>
          </w:p>
        </w:tc>
        <w:tc>
          <w:tcPr>
            <w:tcW w:w="864"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BEA071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z-value</w:t>
            </w:r>
          </w:p>
        </w:tc>
        <w:tc>
          <w:tcPr>
            <w:tcW w:w="864"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C1E7EC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p-value</w:t>
            </w:r>
          </w:p>
        </w:tc>
        <w:tc>
          <w:tcPr>
            <w:tcW w:w="576"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8F283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Sig</w:t>
            </w:r>
          </w:p>
        </w:tc>
      </w:tr>
      <w:tr w:rsidR="00B10A77" w:rsidRPr="002D1216" w14:paraId="3D176E7A" w14:textId="77777777" w:rsidTr="00BF4B86">
        <w:trPr>
          <w:jc w:val="center"/>
        </w:trPr>
        <w:tc>
          <w:tcPr>
            <w:tcW w:w="396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5AD0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(Constant)</w:t>
            </w:r>
          </w:p>
        </w:tc>
        <w:tc>
          <w:tcPr>
            <w:tcW w:w="144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6651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0.563</w:t>
            </w:r>
          </w:p>
        </w:tc>
        <w:tc>
          <w:tcPr>
            <w:tcW w:w="144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180C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3.528</w:t>
            </w:r>
          </w:p>
        </w:tc>
        <w:tc>
          <w:tcPr>
            <w:tcW w:w="864"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05D5B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0.160</w:t>
            </w:r>
          </w:p>
        </w:tc>
        <w:tc>
          <w:tcPr>
            <w:tcW w:w="864"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E59B2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0.873</w:t>
            </w:r>
          </w:p>
        </w:tc>
        <w:tc>
          <w:tcPr>
            <w:tcW w:w="576"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7D61A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1FBCAB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F6040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04715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D857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0.261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7675D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-0.490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9438E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0.624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58212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81D98E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9C1B7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D616A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307C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0.327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2C020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-0.166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5729E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0.868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EE541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4974C8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80A5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550F3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0.237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35ABC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C330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1.149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0F95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0.251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ECDAE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6D6047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5EB04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9C7AB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-0.238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1C94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0.240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85398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-0.992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FD3E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0.321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4F9A0E"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76878A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7653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6767E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0.664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0AC19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0.344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B1BD8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1.929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C0F8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F7F46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3F333E2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E85E1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6EEC5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0.853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6D271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0.839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8239C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1.016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EF9AF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0.310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194330"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A15F17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48D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0C25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0.130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CB9D4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C9BF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1.884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7DB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0F5AA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378025A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DC530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6AA26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-0.353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E5990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0.185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2D215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-1.912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6531D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34FAA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4BD728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30EA0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8F0C7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-3.067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DF4AE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1.371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ABB1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-2.237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F9575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97D46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9E3B6D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F747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83E7B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5E878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81B9D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-0.742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C2E2E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88103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C465A2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EA6FA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97A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372F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0D87A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1.177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1AE8E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0.239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66368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770D2F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FDF2E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C1BC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A259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61325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-2.162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4170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8369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FE33C7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B23E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7E2A2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-0.680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3886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0.243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34FC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-2.799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B8A1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16AC7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3DE7FD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93053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Physical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3B9EC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4791B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AEB7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1.127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CD4F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0.260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6AAF94"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8F2CE7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DBCC2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Sexual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33B4A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A760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1EF7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1.138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05ED1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0.255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65F19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29DCA0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8123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10618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7B9C0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1D22F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2.365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D32B9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BC2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6A55AE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5B410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D9CFD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07CE2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7BFCC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-2.042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9DB6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76479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B54FC4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9D0A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B1BEB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ED51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5AE87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0.318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94295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0.750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01E25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A6AC10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DD22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54172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083B9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2A0D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0.230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4221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0.818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FD45C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73E5AA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C0C4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Emotional Abuse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F0A8E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BC7D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7D24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0.737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F39C9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0.461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C289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4D317E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8E09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3C902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7291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321B6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0.564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52D7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0.573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1B63D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858213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4829F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Emotional Abuse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DF18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A7558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89108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4D02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0.935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6EB664"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633B3A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FE799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8A9A0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42C22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FF9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-1.742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B1F7C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BC4A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9872BC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ED84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B8C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8EFB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92332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2.132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C02A1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1AA70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335E3E3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883B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D28D7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8A546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55CA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-1.182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50F71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0.237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252DE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25DEDB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84F11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Sexual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29D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012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0D3D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-0.300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67B9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0.765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F0DD1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4E5053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75F1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CD218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B006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9AF4C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-2.074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AEAC6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18A0F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2FEAE09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06F49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E303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13B8F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AC8C6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92A11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0.481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3A8AC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1DFBF5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B5E03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6740A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28E42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0.070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C53B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-0.148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7E0D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0.882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D76F9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6EDD87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BCC9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C121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FF47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037FA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-1.087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46245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0.277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ED915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BD857D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959A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60A1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930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6D93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0.824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BB8FA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0.410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8217C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16FE0B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AF6FE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65012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0.053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A284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745D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0.660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DE349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0.509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94AAF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7AD080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B655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Physical Abuse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3B137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67B51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9C32C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0.872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544E2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0.383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4672C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4E3FA5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195A3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A7DFB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3ECF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A3394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-0.590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DA1CB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0.556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8C2E9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976C0F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08EC4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Physical Abuse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C0FA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D0EFD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E5FE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-0.275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01F55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0.784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2EBF8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35A58F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D48CA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5D2B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1198B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1C5CF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2.075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27BB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3E33E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254A101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140E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7AD18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5F9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05213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-0.460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85BD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0.645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48935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0E6DA3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8B3E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B55F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1D36B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9432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230B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0.951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61BD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B937F3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4DC13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FA9AB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0E899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C0D72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-1.211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0B75B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0.226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B0F42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B3E5D4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84554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80E5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D9C92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07094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-1.260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FBCB6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0.208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B6E364"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5D9116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8D407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EFD12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36B10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327C3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-0.589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40A9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0.556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A64CB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5EFCE8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7E1E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52921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BB41E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DB90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520BC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0.547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9A13A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009B85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D2A5A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Sexual Abuse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29A94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4F9F7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A6A66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-0.687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4A7A0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0.492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388316"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C1781E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19C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067BD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C905D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F2388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-0.963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6EDBE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0.335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F6C60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B6A660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DEB3A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9F3E4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24E22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04495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0.941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E1B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0.347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02D32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936712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876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527E1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BC67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C8C7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97FC8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0.420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BF0BD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E7FFA6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FBF8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83A07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B0E4A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1B8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1.059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3EF0F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0.289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AFF61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C5CE3F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B6813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88B4A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0.082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86A2E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23B7D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1.860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511AC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7D5CC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86783B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A2FC0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ABB5A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65372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0127A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1.249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A5D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0.212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C5981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81B8AA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34DE8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49627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535A6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BF0B5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-0.282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22C2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0.778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9617C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2D1B93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A232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Emotional Neglect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672E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-0.079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6C31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8440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-1.452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C734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0.147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2DA9A4"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9027F0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BC500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Emotional Neglect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5C6A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B1AB8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0F791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A4858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0.608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250C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567073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FC5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DE3B3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9157A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DCC3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2.570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39E02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5859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6B87DE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8B8DF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D1E1D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D10B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BCDC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-2.461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632D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015F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42BAA75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3BFF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A862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E677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27B6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C60B5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0.998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AD12E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836325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B1BD4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B5E62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4BAFA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0.070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E5D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-0.341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80796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0.733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E43A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94A3D6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35F0D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64917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2E432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D2E1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-1.764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1CC7D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0.078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2A49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6D9B62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216D2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64825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977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A3343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1.665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843A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0.096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E763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EFEFCF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2DB1B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0862B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C01C7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11B39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-0.172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245D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0.863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2400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603874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AB6F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Physical Neglect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890C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9F1F2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7B780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-1.176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B99D3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0.240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D0D83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63A66C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698BB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215B3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B5639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BA4F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-1.516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7E46D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6FF5E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173F42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86C14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1B5D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997B9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6B66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0.834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F8A5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0.404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C1DE6"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3AD0A2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6AF9E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0E18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A2D5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09A51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-0.297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0F38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0.766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F3811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F30681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6A70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6E8AE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D39A4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D2986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D252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0.969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F7D19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B39DD7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1548B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92731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55E31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F5C9D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-0.748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4DFB5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F897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D4C547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3124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Minimization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0FF53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403D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0.184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7569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-0.656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5BAB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0.512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C7CE90"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FB4A2C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5201B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Minimization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18E68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50BE7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A75A2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-1.560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3B823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0.119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00046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76781B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D5863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A77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661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75BA7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-0.405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F55D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0.686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0C5D6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04A5A5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E8591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AFB59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D6CF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CEDD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-0.797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E0D7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0.425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6F0A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3558E0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7937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4AF0B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0281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3EC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-0.079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405BC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0.937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0E8D7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DFFD75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5A7A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6DDC6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AE403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E2C9D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66E02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0.954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B1185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1CCD15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F3EE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1B42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C0A6D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CD44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0.123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CD67C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0.902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1391C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072339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86EF9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Trait Anxiety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A21B3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FA0E8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0B2D5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D6A76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0.481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1547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97EA65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322A4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8DD53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3A7C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C221F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0.686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E49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0.493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63E61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1EEEA1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C05B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7C8BC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0BC25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2B440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DE3BE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0.649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DDC7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66997E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9744A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32964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BB540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308F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0.219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CC2B6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0.827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A9B3F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C31A3D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F5EB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45A76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3522E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886F4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2.186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22BB2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72D3B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F5F2B8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67796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C-Reactive Protein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AA09E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4B1C2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836B8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0.748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08A0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B4DA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8301A1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6B4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F3C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86192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8064F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-0.727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DD8C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0.467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6238F6"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5F3B99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65032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3798A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75D0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E9087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1.506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F6DA8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0.132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296AD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D26CBE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435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30A7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56408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F6D3F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0.542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E58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0.588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0392E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49C4BF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695B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Gender (Female)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5C38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BBF84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07F8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2.303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93FA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2C9D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53E4495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1A781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Gender (Female)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E5A9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65D77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092D6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-2.314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1EC10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DFD46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29F3993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DF35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Gender (Female)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0F6D6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E4036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64104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3.236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0C5D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437BD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AB80E5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48A05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Gender (Female)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3C755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0.133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6E398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A130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2.110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D45D3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0A06E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BA29CF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0BA09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1D5B9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E637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4A1F3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-1.601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BBB0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0.109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1AFD0"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1415AB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6CD13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A27C2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81A9D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DE75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2.346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80B1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2A1A5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EF3A65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40FF0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84C1B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8E5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46D2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2.575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0A12F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878B3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5A72FF4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286F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Household Income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40A6B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7C2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CA8E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B96ED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0.476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E8A7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18FD69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B9186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Household Income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AACD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F5AA7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9A7D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C6423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0.615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E76EB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1F3F8E5" w14:textId="77777777" w:rsidTr="00BF4B86">
        <w:trPr>
          <w:jc w:val="center"/>
        </w:trPr>
        <w:tc>
          <w:tcPr>
            <w:tcW w:w="396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6287D2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Income * Highest Education</w:t>
            </w:r>
          </w:p>
        </w:tc>
        <w:tc>
          <w:tcPr>
            <w:tcW w:w="144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A57202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B788AB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A6DC0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1.120</w:t>
            </w:r>
          </w:p>
        </w:tc>
        <w:tc>
          <w:tcPr>
            <w:tcW w:w="864"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F7E053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0.263</w:t>
            </w:r>
          </w:p>
        </w:tc>
        <w:tc>
          <w:tcPr>
            <w:tcW w:w="576"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09B540A" w14:textId="77777777" w:rsidR="00B10A77" w:rsidRPr="002D1216" w:rsidRDefault="00B10A77" w:rsidP="002B0F75">
            <w:pPr>
              <w:spacing w:after="0" w:line="360" w:lineRule="auto"/>
              <w:rPr>
                <w:rFonts w:ascii="Cambria" w:eastAsia="Calibri" w:hAnsi="Cambria" w:cs="Calibri"/>
                <w:color w:val="000000"/>
                <w:sz w:val="24"/>
                <w:szCs w:val="24"/>
              </w:rPr>
            </w:pPr>
          </w:p>
        </w:tc>
      </w:tr>
    </w:tbl>
    <w:p w14:paraId="47A04D4C"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color w:val="000000"/>
          <w:sz w:val="24"/>
          <w:szCs w:val="24"/>
        </w:rPr>
        <w:t xml:space="preserve">NOTES: Dependent variable: Probability of having chronic pain. N = 1121. </w:t>
      </w:r>
      <w:proofErr w:type="spellStart"/>
      <w:r w:rsidRPr="002D1216">
        <w:rPr>
          <w:rFonts w:ascii="Cambria" w:eastAsia="Calibri" w:hAnsi="Cambria" w:cs="Calibri"/>
          <w:color w:val="000000"/>
          <w:sz w:val="24"/>
          <w:szCs w:val="24"/>
        </w:rPr>
        <w:t>Signif</w:t>
      </w:r>
      <w:proofErr w:type="spellEnd"/>
      <w:r w:rsidRPr="002D1216">
        <w:rPr>
          <w:rFonts w:ascii="Cambria" w:eastAsia="Calibri" w:hAnsi="Cambria" w:cs="Calibri"/>
          <w:color w:val="000000"/>
          <w:sz w:val="24"/>
          <w:szCs w:val="24"/>
        </w:rPr>
        <w:t xml:space="preserve">. codes:  0 ‘***’ 0.001 ‘**’ 0.01 ‘*’ 0.05 ‘.’ 0.1 </w:t>
      </w:r>
      <w:proofErr w:type="gramStart"/>
      <w:r w:rsidRPr="002D1216">
        <w:rPr>
          <w:rFonts w:ascii="Cambria" w:eastAsia="Calibri" w:hAnsi="Cambria" w:cs="Calibri"/>
          <w:color w:val="000000"/>
          <w:sz w:val="24"/>
          <w:szCs w:val="24"/>
        </w:rPr>
        <w:t>‘ ’</w:t>
      </w:r>
      <w:proofErr w:type="gramEnd"/>
      <w:r w:rsidRPr="002D1216">
        <w:rPr>
          <w:rFonts w:ascii="Cambria" w:eastAsia="Calibri" w:hAnsi="Cambria" w:cs="Calibri"/>
          <w:color w:val="000000"/>
          <w:sz w:val="24"/>
          <w:szCs w:val="24"/>
        </w:rPr>
        <w:t xml:space="preserve"> 1 (Dispersion parameter for binomial family taken to be 1). </w:t>
      </w:r>
    </w:p>
    <w:p w14:paraId="6BC229DC" w14:textId="439AF5CA" w:rsidR="00B10A77" w:rsidRPr="002D1216" w:rsidRDefault="3A48E53A" w:rsidP="002B0F75">
      <w:pPr>
        <w:spacing w:after="0" w:line="360" w:lineRule="auto"/>
        <w:rPr>
          <w:rFonts w:ascii="Cambria" w:eastAsia="Calibri" w:hAnsi="Cambria" w:cs="Calibri"/>
          <w:b/>
          <w:bCs/>
          <w:color w:val="000000"/>
          <w:sz w:val="24"/>
          <w:szCs w:val="24"/>
        </w:rPr>
      </w:pPr>
      <w:r w:rsidRPr="13B33B62">
        <w:rPr>
          <w:rFonts w:ascii="Cambria" w:eastAsia="Calibri" w:hAnsi="Cambria" w:cs="Calibri"/>
          <w:b/>
          <w:bCs/>
          <w:color w:val="000000" w:themeColor="text1"/>
          <w:sz w:val="24"/>
          <w:szCs w:val="24"/>
        </w:rPr>
        <w:t>Appendix C Additional analyses</w:t>
      </w:r>
    </w:p>
    <w:p w14:paraId="12CCC12E"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Table S6</w:t>
      </w:r>
      <w:r w:rsidRPr="002D1216">
        <w:rPr>
          <w:rFonts w:ascii="Cambria" w:eastAsia="Calibri" w:hAnsi="Cambria" w:cs="Calibri"/>
          <w:color w:val="000000"/>
          <w:sz w:val="24"/>
          <w:szCs w:val="24"/>
        </w:rPr>
        <w:t xml:space="preserve">: </w:t>
      </w:r>
      <w:r w:rsidRPr="002D1216">
        <w:rPr>
          <w:rFonts w:ascii="Cambria" w:eastAsia="Calibri" w:hAnsi="Cambria" w:cs="Calibri"/>
          <w:b/>
          <w:bCs/>
          <w:color w:val="000000"/>
          <w:sz w:val="24"/>
          <w:szCs w:val="24"/>
        </w:rPr>
        <w:t>Regression confusion matrix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5"/>
        <w:gridCol w:w="1370"/>
        <w:gridCol w:w="1980"/>
        <w:gridCol w:w="1800"/>
      </w:tblGrid>
      <w:tr w:rsidR="00B10A77" w:rsidRPr="002D1216" w14:paraId="78CB8997" w14:textId="77777777" w:rsidTr="00BF4B86">
        <w:trPr>
          <w:trHeight w:val="544"/>
        </w:trPr>
        <w:tc>
          <w:tcPr>
            <w:tcW w:w="2855" w:type="dxa"/>
            <w:tcBorders>
              <w:top w:val="single" w:sz="4" w:space="0" w:color="auto"/>
              <w:bottom w:val="single" w:sz="4" w:space="0" w:color="auto"/>
            </w:tcBorders>
            <w:shd w:val="clear" w:color="auto" w:fill="auto"/>
          </w:tcPr>
          <w:p w14:paraId="541BB6AF"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 xml:space="preserve">                 Overall regression</w:t>
            </w:r>
          </w:p>
        </w:tc>
        <w:tc>
          <w:tcPr>
            <w:tcW w:w="1370" w:type="dxa"/>
            <w:tcBorders>
              <w:top w:val="single" w:sz="4" w:space="0" w:color="auto"/>
              <w:bottom w:val="single" w:sz="4" w:space="0" w:color="auto"/>
            </w:tcBorders>
            <w:shd w:val="clear" w:color="auto" w:fill="auto"/>
          </w:tcPr>
          <w:p w14:paraId="463C4186" w14:textId="77777777" w:rsidR="00B10A77" w:rsidRPr="002D1216" w:rsidRDefault="00B10A77" w:rsidP="002B0F75">
            <w:pPr>
              <w:spacing w:line="360" w:lineRule="auto"/>
              <w:rPr>
                <w:rFonts w:ascii="Cambria" w:eastAsia="Calibri" w:hAnsi="Cambria" w:cs="Calibri"/>
                <w:color w:val="000000"/>
                <w:sz w:val="24"/>
                <w:szCs w:val="24"/>
              </w:rPr>
            </w:pPr>
          </w:p>
        </w:tc>
        <w:tc>
          <w:tcPr>
            <w:tcW w:w="3780" w:type="dxa"/>
            <w:gridSpan w:val="2"/>
            <w:tcBorders>
              <w:top w:val="single" w:sz="4" w:space="0" w:color="auto"/>
              <w:bottom w:val="single" w:sz="4" w:space="0" w:color="auto"/>
            </w:tcBorders>
            <w:shd w:val="clear" w:color="auto" w:fill="auto"/>
          </w:tcPr>
          <w:p w14:paraId="10AA8561"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 xml:space="preserve">Actual medication </w:t>
            </w:r>
            <w:proofErr w:type="gramStart"/>
            <w:r w:rsidRPr="002D1216">
              <w:rPr>
                <w:rFonts w:ascii="Cambria" w:eastAsia="Calibri" w:hAnsi="Cambria" w:cs="Calibri"/>
                <w:b/>
                <w:bCs/>
                <w:color w:val="000000"/>
                <w:sz w:val="24"/>
                <w:szCs w:val="24"/>
              </w:rPr>
              <w:t>use</w:t>
            </w:r>
            <w:proofErr w:type="gramEnd"/>
            <w:r w:rsidRPr="002D1216">
              <w:rPr>
                <w:rFonts w:ascii="Cambria" w:eastAsia="Calibri" w:hAnsi="Cambria" w:cs="Calibri"/>
                <w:b/>
                <w:bCs/>
                <w:color w:val="000000"/>
                <w:sz w:val="24"/>
                <w:szCs w:val="24"/>
              </w:rPr>
              <w:t xml:space="preserve"> for chronic pain</w:t>
            </w:r>
          </w:p>
        </w:tc>
      </w:tr>
      <w:tr w:rsidR="00B10A77" w:rsidRPr="002D1216" w14:paraId="6C967BC5" w14:textId="77777777" w:rsidTr="00BF4B86">
        <w:trPr>
          <w:trHeight w:val="279"/>
        </w:trPr>
        <w:tc>
          <w:tcPr>
            <w:tcW w:w="2855" w:type="dxa"/>
            <w:tcBorders>
              <w:top w:val="single" w:sz="4" w:space="0" w:color="auto"/>
            </w:tcBorders>
            <w:shd w:val="clear" w:color="auto" w:fill="auto"/>
          </w:tcPr>
          <w:p w14:paraId="336A5E44" w14:textId="77777777" w:rsidR="00B10A77" w:rsidRPr="002D1216" w:rsidRDefault="00B10A77" w:rsidP="002B0F75">
            <w:pPr>
              <w:spacing w:line="360" w:lineRule="auto"/>
              <w:rPr>
                <w:rFonts w:ascii="Cambria" w:eastAsia="Calibri" w:hAnsi="Cambria" w:cs="Calibri"/>
                <w:color w:val="000000"/>
                <w:sz w:val="24"/>
                <w:szCs w:val="24"/>
              </w:rPr>
            </w:pPr>
          </w:p>
        </w:tc>
        <w:tc>
          <w:tcPr>
            <w:tcW w:w="1370" w:type="dxa"/>
            <w:tcBorders>
              <w:top w:val="single" w:sz="4" w:space="0" w:color="auto"/>
            </w:tcBorders>
            <w:shd w:val="clear" w:color="auto" w:fill="auto"/>
          </w:tcPr>
          <w:p w14:paraId="12AF2CA6" w14:textId="77777777" w:rsidR="00B10A77" w:rsidRPr="002D1216" w:rsidRDefault="00B10A77" w:rsidP="002B0F75">
            <w:pPr>
              <w:spacing w:line="360" w:lineRule="auto"/>
              <w:rPr>
                <w:rFonts w:ascii="Cambria" w:eastAsia="Calibri" w:hAnsi="Cambria" w:cs="Calibri"/>
                <w:color w:val="000000"/>
                <w:sz w:val="24"/>
                <w:szCs w:val="24"/>
              </w:rPr>
            </w:pPr>
          </w:p>
        </w:tc>
        <w:tc>
          <w:tcPr>
            <w:tcW w:w="1980" w:type="dxa"/>
            <w:tcBorders>
              <w:top w:val="single" w:sz="4" w:space="0" w:color="auto"/>
            </w:tcBorders>
            <w:shd w:val="clear" w:color="auto" w:fill="auto"/>
          </w:tcPr>
          <w:p w14:paraId="65509CE4"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FALSE</w:t>
            </w:r>
          </w:p>
        </w:tc>
        <w:tc>
          <w:tcPr>
            <w:tcW w:w="1800" w:type="dxa"/>
            <w:tcBorders>
              <w:top w:val="single" w:sz="4" w:space="0" w:color="auto"/>
            </w:tcBorders>
          </w:tcPr>
          <w:p w14:paraId="609FC6B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TRUE</w:t>
            </w:r>
          </w:p>
        </w:tc>
      </w:tr>
      <w:tr w:rsidR="00B10A77" w:rsidRPr="002D1216" w14:paraId="44EE368F" w14:textId="77777777" w:rsidTr="00BF4B86">
        <w:trPr>
          <w:trHeight w:val="279"/>
        </w:trPr>
        <w:tc>
          <w:tcPr>
            <w:tcW w:w="2855" w:type="dxa"/>
            <w:vMerge w:val="restart"/>
            <w:shd w:val="clear" w:color="auto" w:fill="auto"/>
          </w:tcPr>
          <w:p w14:paraId="64171DFD"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Predicted medication use for chronic pain</w:t>
            </w:r>
          </w:p>
        </w:tc>
        <w:tc>
          <w:tcPr>
            <w:tcW w:w="1370" w:type="dxa"/>
            <w:shd w:val="clear" w:color="auto" w:fill="auto"/>
          </w:tcPr>
          <w:p w14:paraId="65E662A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FALSE</w:t>
            </w:r>
          </w:p>
        </w:tc>
        <w:tc>
          <w:tcPr>
            <w:tcW w:w="1980" w:type="dxa"/>
            <w:shd w:val="clear" w:color="auto" w:fill="auto"/>
          </w:tcPr>
          <w:p w14:paraId="52628DA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533</w:t>
            </w:r>
          </w:p>
        </w:tc>
        <w:tc>
          <w:tcPr>
            <w:tcW w:w="1800" w:type="dxa"/>
          </w:tcPr>
          <w:p w14:paraId="29E157B3"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32</w:t>
            </w:r>
          </w:p>
        </w:tc>
      </w:tr>
      <w:tr w:rsidR="00B10A77" w:rsidRPr="002D1216" w14:paraId="10CB9E71" w14:textId="77777777" w:rsidTr="00BF4B86">
        <w:trPr>
          <w:trHeight w:val="149"/>
        </w:trPr>
        <w:tc>
          <w:tcPr>
            <w:tcW w:w="2855" w:type="dxa"/>
            <w:vMerge/>
            <w:tcBorders>
              <w:bottom w:val="single" w:sz="4" w:space="0" w:color="auto"/>
            </w:tcBorders>
            <w:shd w:val="clear" w:color="auto" w:fill="auto"/>
          </w:tcPr>
          <w:p w14:paraId="01AFDF33" w14:textId="77777777" w:rsidR="00B10A77" w:rsidRPr="002D1216" w:rsidRDefault="00B10A77" w:rsidP="002B0F75">
            <w:pPr>
              <w:spacing w:line="360" w:lineRule="auto"/>
              <w:rPr>
                <w:rFonts w:ascii="Cambria" w:eastAsia="Calibri" w:hAnsi="Cambria" w:cs="Calibri"/>
                <w:color w:val="000000"/>
                <w:sz w:val="24"/>
                <w:szCs w:val="24"/>
              </w:rPr>
            </w:pPr>
          </w:p>
        </w:tc>
        <w:tc>
          <w:tcPr>
            <w:tcW w:w="1370" w:type="dxa"/>
            <w:tcBorders>
              <w:bottom w:val="single" w:sz="4" w:space="0" w:color="auto"/>
            </w:tcBorders>
            <w:shd w:val="clear" w:color="auto" w:fill="auto"/>
          </w:tcPr>
          <w:p w14:paraId="5312536F"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TRUE</w:t>
            </w:r>
          </w:p>
        </w:tc>
        <w:tc>
          <w:tcPr>
            <w:tcW w:w="1980" w:type="dxa"/>
            <w:tcBorders>
              <w:bottom w:val="single" w:sz="4" w:space="0" w:color="auto"/>
            </w:tcBorders>
            <w:shd w:val="clear" w:color="auto" w:fill="auto"/>
          </w:tcPr>
          <w:p w14:paraId="0117B41B"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8</w:t>
            </w:r>
          </w:p>
        </w:tc>
        <w:tc>
          <w:tcPr>
            <w:tcW w:w="1800" w:type="dxa"/>
            <w:tcBorders>
              <w:bottom w:val="single" w:sz="4" w:space="0" w:color="auto"/>
            </w:tcBorders>
          </w:tcPr>
          <w:p w14:paraId="05650DB5"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27</w:t>
            </w:r>
          </w:p>
        </w:tc>
      </w:tr>
      <w:tr w:rsidR="00B10A77" w:rsidRPr="002D1216" w14:paraId="0C6F471B" w14:textId="77777777" w:rsidTr="00BF4B86">
        <w:trPr>
          <w:trHeight w:val="544"/>
        </w:trPr>
        <w:tc>
          <w:tcPr>
            <w:tcW w:w="2855" w:type="dxa"/>
            <w:tcBorders>
              <w:top w:val="single" w:sz="4" w:space="0" w:color="auto"/>
              <w:bottom w:val="single" w:sz="4" w:space="0" w:color="auto"/>
            </w:tcBorders>
            <w:shd w:val="clear" w:color="auto" w:fill="auto"/>
          </w:tcPr>
          <w:p w14:paraId="6E8A112C"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Significant interactions only matrix</w:t>
            </w:r>
          </w:p>
        </w:tc>
        <w:tc>
          <w:tcPr>
            <w:tcW w:w="1370" w:type="dxa"/>
            <w:tcBorders>
              <w:top w:val="single" w:sz="4" w:space="0" w:color="auto"/>
              <w:bottom w:val="single" w:sz="4" w:space="0" w:color="auto"/>
            </w:tcBorders>
            <w:shd w:val="clear" w:color="auto" w:fill="auto"/>
          </w:tcPr>
          <w:p w14:paraId="41C1C7CA" w14:textId="77777777" w:rsidR="00B10A77" w:rsidRPr="002D1216" w:rsidRDefault="00B10A77" w:rsidP="002B0F75">
            <w:pPr>
              <w:spacing w:line="360" w:lineRule="auto"/>
              <w:rPr>
                <w:rFonts w:ascii="Cambria" w:eastAsia="Calibri" w:hAnsi="Cambria" w:cs="Calibri"/>
                <w:color w:val="000000"/>
                <w:sz w:val="24"/>
                <w:szCs w:val="24"/>
              </w:rPr>
            </w:pPr>
          </w:p>
        </w:tc>
        <w:tc>
          <w:tcPr>
            <w:tcW w:w="3780" w:type="dxa"/>
            <w:gridSpan w:val="2"/>
            <w:tcBorders>
              <w:top w:val="single" w:sz="4" w:space="0" w:color="auto"/>
              <w:bottom w:val="single" w:sz="4" w:space="0" w:color="auto"/>
            </w:tcBorders>
            <w:shd w:val="clear" w:color="auto" w:fill="auto"/>
          </w:tcPr>
          <w:p w14:paraId="421A77B6"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 xml:space="preserve">Actual medication </w:t>
            </w:r>
            <w:proofErr w:type="gramStart"/>
            <w:r w:rsidRPr="002D1216">
              <w:rPr>
                <w:rFonts w:ascii="Cambria" w:eastAsia="Calibri" w:hAnsi="Cambria" w:cs="Calibri"/>
                <w:b/>
                <w:bCs/>
                <w:color w:val="000000"/>
                <w:sz w:val="24"/>
                <w:szCs w:val="24"/>
              </w:rPr>
              <w:t>use</w:t>
            </w:r>
            <w:proofErr w:type="gramEnd"/>
            <w:r w:rsidRPr="002D1216">
              <w:rPr>
                <w:rFonts w:ascii="Cambria" w:eastAsia="Calibri" w:hAnsi="Cambria" w:cs="Calibri"/>
                <w:b/>
                <w:bCs/>
                <w:color w:val="000000"/>
                <w:sz w:val="24"/>
                <w:szCs w:val="24"/>
              </w:rPr>
              <w:t xml:space="preserve"> for chronic pain</w:t>
            </w:r>
          </w:p>
        </w:tc>
      </w:tr>
      <w:tr w:rsidR="00B10A77" w:rsidRPr="002D1216" w14:paraId="3CE9D39D" w14:textId="77777777" w:rsidTr="00BF4B86">
        <w:trPr>
          <w:trHeight w:val="279"/>
        </w:trPr>
        <w:tc>
          <w:tcPr>
            <w:tcW w:w="2855" w:type="dxa"/>
            <w:tcBorders>
              <w:top w:val="single" w:sz="4" w:space="0" w:color="auto"/>
            </w:tcBorders>
          </w:tcPr>
          <w:p w14:paraId="24077CF3" w14:textId="77777777" w:rsidR="00B10A77" w:rsidRPr="002D1216" w:rsidRDefault="00B10A77" w:rsidP="002B0F75">
            <w:pPr>
              <w:spacing w:line="360" w:lineRule="auto"/>
              <w:rPr>
                <w:rFonts w:ascii="Cambria" w:eastAsia="Calibri" w:hAnsi="Cambria" w:cs="Calibri"/>
                <w:color w:val="000000"/>
                <w:sz w:val="24"/>
                <w:szCs w:val="24"/>
              </w:rPr>
            </w:pPr>
          </w:p>
        </w:tc>
        <w:tc>
          <w:tcPr>
            <w:tcW w:w="1370" w:type="dxa"/>
            <w:tcBorders>
              <w:top w:val="single" w:sz="4" w:space="0" w:color="auto"/>
            </w:tcBorders>
          </w:tcPr>
          <w:p w14:paraId="4E513B36" w14:textId="77777777" w:rsidR="00B10A77" w:rsidRPr="002D1216" w:rsidRDefault="00B10A77" w:rsidP="002B0F75">
            <w:pPr>
              <w:spacing w:line="360" w:lineRule="auto"/>
              <w:rPr>
                <w:rFonts w:ascii="Cambria" w:eastAsia="Calibri" w:hAnsi="Cambria" w:cs="Calibri"/>
                <w:color w:val="000000"/>
                <w:sz w:val="24"/>
                <w:szCs w:val="24"/>
              </w:rPr>
            </w:pPr>
          </w:p>
        </w:tc>
        <w:tc>
          <w:tcPr>
            <w:tcW w:w="1980" w:type="dxa"/>
            <w:tcBorders>
              <w:top w:val="single" w:sz="4" w:space="0" w:color="auto"/>
            </w:tcBorders>
          </w:tcPr>
          <w:p w14:paraId="1D5964A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FALSE</w:t>
            </w:r>
          </w:p>
        </w:tc>
        <w:tc>
          <w:tcPr>
            <w:tcW w:w="1800" w:type="dxa"/>
            <w:tcBorders>
              <w:top w:val="single" w:sz="4" w:space="0" w:color="auto"/>
            </w:tcBorders>
          </w:tcPr>
          <w:p w14:paraId="097732F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TRUE</w:t>
            </w:r>
          </w:p>
        </w:tc>
      </w:tr>
      <w:tr w:rsidR="00B10A77" w:rsidRPr="002D1216" w14:paraId="283D6F97" w14:textId="77777777" w:rsidTr="00BF4B86">
        <w:trPr>
          <w:trHeight w:val="279"/>
        </w:trPr>
        <w:tc>
          <w:tcPr>
            <w:tcW w:w="2855" w:type="dxa"/>
            <w:vMerge w:val="restart"/>
          </w:tcPr>
          <w:p w14:paraId="7168113D" w14:textId="77777777" w:rsidR="00B10A77" w:rsidRPr="002D1216" w:rsidRDefault="00B10A77" w:rsidP="002B0F75">
            <w:pPr>
              <w:spacing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Predicted medication use for chronic pain</w:t>
            </w:r>
          </w:p>
        </w:tc>
        <w:tc>
          <w:tcPr>
            <w:tcW w:w="1370" w:type="dxa"/>
          </w:tcPr>
          <w:p w14:paraId="406A3DE2"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FALSE</w:t>
            </w:r>
          </w:p>
        </w:tc>
        <w:tc>
          <w:tcPr>
            <w:tcW w:w="1980" w:type="dxa"/>
          </w:tcPr>
          <w:p w14:paraId="46D4D028"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535</w:t>
            </w:r>
          </w:p>
        </w:tc>
        <w:tc>
          <w:tcPr>
            <w:tcW w:w="1800" w:type="dxa"/>
          </w:tcPr>
          <w:p w14:paraId="6D426C30"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50</w:t>
            </w:r>
          </w:p>
        </w:tc>
      </w:tr>
      <w:tr w:rsidR="00B10A77" w:rsidRPr="002D1216" w14:paraId="453D68B7" w14:textId="77777777" w:rsidTr="00BF4B86">
        <w:trPr>
          <w:trHeight w:val="149"/>
        </w:trPr>
        <w:tc>
          <w:tcPr>
            <w:tcW w:w="2855" w:type="dxa"/>
            <w:vMerge/>
            <w:tcBorders>
              <w:bottom w:val="single" w:sz="4" w:space="0" w:color="auto"/>
            </w:tcBorders>
          </w:tcPr>
          <w:p w14:paraId="57EEBAF6" w14:textId="77777777" w:rsidR="00B10A77" w:rsidRPr="002D1216" w:rsidRDefault="00B10A77" w:rsidP="002B0F75">
            <w:pPr>
              <w:spacing w:line="360" w:lineRule="auto"/>
              <w:rPr>
                <w:rFonts w:ascii="Cambria" w:eastAsia="Calibri" w:hAnsi="Cambria" w:cs="Calibri"/>
                <w:color w:val="000000"/>
                <w:sz w:val="24"/>
                <w:szCs w:val="24"/>
              </w:rPr>
            </w:pPr>
          </w:p>
        </w:tc>
        <w:tc>
          <w:tcPr>
            <w:tcW w:w="1370" w:type="dxa"/>
            <w:tcBorders>
              <w:bottom w:val="single" w:sz="4" w:space="0" w:color="auto"/>
            </w:tcBorders>
          </w:tcPr>
          <w:p w14:paraId="7C8757AA"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TRUE</w:t>
            </w:r>
          </w:p>
        </w:tc>
        <w:tc>
          <w:tcPr>
            <w:tcW w:w="1980" w:type="dxa"/>
            <w:tcBorders>
              <w:bottom w:val="single" w:sz="4" w:space="0" w:color="auto"/>
            </w:tcBorders>
          </w:tcPr>
          <w:p w14:paraId="6F3B0EF7"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w:t>
            </w:r>
          </w:p>
        </w:tc>
        <w:tc>
          <w:tcPr>
            <w:tcW w:w="1800" w:type="dxa"/>
            <w:tcBorders>
              <w:bottom w:val="single" w:sz="4" w:space="0" w:color="auto"/>
            </w:tcBorders>
          </w:tcPr>
          <w:p w14:paraId="47B9FD76" w14:textId="77777777" w:rsidR="00B10A77" w:rsidRPr="002D1216" w:rsidRDefault="00B10A77" w:rsidP="002B0F75">
            <w:pPr>
              <w:spacing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9</w:t>
            </w:r>
          </w:p>
        </w:tc>
      </w:tr>
    </w:tbl>
    <w:p w14:paraId="5FE70DF1" w14:textId="77777777" w:rsidR="00B10A77" w:rsidRPr="002D1216" w:rsidRDefault="00B10A77" w:rsidP="002B0F75">
      <w:pPr>
        <w:spacing w:after="0" w:line="360" w:lineRule="auto"/>
        <w:rPr>
          <w:rFonts w:ascii="Cambria" w:eastAsia="Calibri" w:hAnsi="Cambria" w:cs="Calibri"/>
          <w:color w:val="000000"/>
          <w:sz w:val="24"/>
          <w:szCs w:val="24"/>
        </w:rPr>
      </w:pPr>
    </w:p>
    <w:p w14:paraId="3E0ED21C" w14:textId="77777777" w:rsidR="00B10A77" w:rsidRPr="002D1216" w:rsidRDefault="00B10A77" w:rsidP="002B0F75">
      <w:pPr>
        <w:spacing w:after="0" w:line="360" w:lineRule="auto"/>
        <w:rPr>
          <w:rFonts w:ascii="Cambria" w:eastAsia="Calibri" w:hAnsi="Cambria" w:cs="Calibri"/>
          <w:b/>
          <w:bCs/>
          <w:color w:val="000000"/>
          <w:sz w:val="24"/>
          <w:szCs w:val="24"/>
        </w:rPr>
      </w:pPr>
      <w:r w:rsidRPr="002D1216">
        <w:rPr>
          <w:rFonts w:ascii="Cambria" w:eastAsia="Calibri" w:hAnsi="Cambria" w:cs="Calibri"/>
          <w:b/>
          <w:bCs/>
          <w:color w:val="000000"/>
          <w:sz w:val="24"/>
          <w:szCs w:val="24"/>
        </w:rPr>
        <w:t xml:space="preserve">Table S7. Long-term medication </w:t>
      </w:r>
      <w:proofErr w:type="gramStart"/>
      <w:r w:rsidRPr="002D1216">
        <w:rPr>
          <w:rFonts w:ascii="Cambria" w:eastAsia="Calibri" w:hAnsi="Cambria" w:cs="Calibri"/>
          <w:b/>
          <w:bCs/>
          <w:color w:val="000000"/>
          <w:sz w:val="24"/>
          <w:szCs w:val="24"/>
        </w:rPr>
        <w:t>use</w:t>
      </w:r>
      <w:proofErr w:type="gramEnd"/>
      <w:r w:rsidRPr="002D1216">
        <w:rPr>
          <w:rFonts w:ascii="Cambria" w:eastAsia="Calibri" w:hAnsi="Cambria" w:cs="Calibri"/>
          <w:b/>
          <w:bCs/>
          <w:color w:val="000000"/>
          <w:sz w:val="24"/>
          <w:szCs w:val="24"/>
        </w:rPr>
        <w:t xml:space="preserve"> for chronic pain</w:t>
      </w:r>
    </w:p>
    <w:tbl>
      <w:tblPr>
        <w:tblW w:w="9144" w:type="dxa"/>
        <w:jc w:val="center"/>
        <w:tblLayout w:type="fixed"/>
        <w:tblLook w:val="0420" w:firstRow="1" w:lastRow="0" w:firstColumn="0" w:lastColumn="0" w:noHBand="0" w:noVBand="1"/>
      </w:tblPr>
      <w:tblGrid>
        <w:gridCol w:w="3960"/>
        <w:gridCol w:w="1440"/>
        <w:gridCol w:w="1440"/>
        <w:gridCol w:w="864"/>
        <w:gridCol w:w="864"/>
        <w:gridCol w:w="576"/>
      </w:tblGrid>
      <w:tr w:rsidR="00B10A77" w:rsidRPr="002D1216" w14:paraId="21217902" w14:textId="77777777" w:rsidTr="00BF4B86">
        <w:trPr>
          <w:tblHeader/>
          <w:jc w:val="center"/>
        </w:trPr>
        <w:tc>
          <w:tcPr>
            <w:tcW w:w="396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99F43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Variable</w:t>
            </w:r>
          </w:p>
        </w:tc>
        <w:tc>
          <w:tcPr>
            <w:tcW w:w="144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DF9023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Estimate</w:t>
            </w:r>
          </w:p>
        </w:tc>
        <w:tc>
          <w:tcPr>
            <w:tcW w:w="144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4D5C8C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Std. Error</w:t>
            </w:r>
          </w:p>
        </w:tc>
        <w:tc>
          <w:tcPr>
            <w:tcW w:w="864"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885206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z-value</w:t>
            </w:r>
          </w:p>
        </w:tc>
        <w:tc>
          <w:tcPr>
            <w:tcW w:w="864"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6384D7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p-value</w:t>
            </w:r>
          </w:p>
        </w:tc>
        <w:tc>
          <w:tcPr>
            <w:tcW w:w="576"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901478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Sig</w:t>
            </w:r>
          </w:p>
        </w:tc>
      </w:tr>
      <w:tr w:rsidR="00B10A77" w:rsidRPr="002D1216" w14:paraId="15BBD987" w14:textId="77777777" w:rsidTr="00BF4B86">
        <w:trPr>
          <w:jc w:val="center"/>
        </w:trPr>
        <w:tc>
          <w:tcPr>
            <w:tcW w:w="396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C045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(Constant)</w:t>
            </w:r>
          </w:p>
        </w:tc>
        <w:tc>
          <w:tcPr>
            <w:tcW w:w="144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AF43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-5.886</w:t>
            </w:r>
          </w:p>
        </w:tc>
        <w:tc>
          <w:tcPr>
            <w:tcW w:w="144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B049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10.773</w:t>
            </w:r>
          </w:p>
        </w:tc>
        <w:tc>
          <w:tcPr>
            <w:tcW w:w="864"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CEE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-0.546</w:t>
            </w:r>
          </w:p>
        </w:tc>
        <w:tc>
          <w:tcPr>
            <w:tcW w:w="864"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495AB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0.585</w:t>
            </w:r>
          </w:p>
        </w:tc>
        <w:tc>
          <w:tcPr>
            <w:tcW w:w="576"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28F13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278C51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94C92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F52D4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-0.269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D7471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0.764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CF746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-0.352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B1956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0.725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E0954"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129FCC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2DDA9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26FD5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-0.540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2A8F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1.098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A8A6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-0.492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7909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0.623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434E9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2AFF78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3FC1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7A0FD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1.118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BE61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0.684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5268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1.634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92C66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0.102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D154D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44030D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B887F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45850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0CECA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0.742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E09D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0.063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FBFDD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0.950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5865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347093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9DA10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6B6D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1082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0.954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5C549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-0.952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7398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0.341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764E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8D5A74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38B91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21F08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3.285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5ACA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2.563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8D90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1.282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F35EE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0.200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8C0CD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93A7E4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7EABA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BF83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0.166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F1C7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0.187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B3048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0.885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C2657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0.376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B9B1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426B86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C36D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A10BB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-0.647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BEA2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0.581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630FF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-1.113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6783B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0.266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34E44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015260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7E541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6CC13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-6.500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CF9B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4.746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4433F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-1.370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BB4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0.171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8623B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3A1E04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FDE3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DD96E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0.263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F25C4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0.123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CBEE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2.145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69C4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55B8D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5AAA077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7115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D1EE6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B2F8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E1D08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1.613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9966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0.107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DC7CB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F4AA33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EE6CC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CEE4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2F717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1BBE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-2.082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3156B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D7A7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30A700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63B57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3488B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-0.522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6CC3A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0.840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9A669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-0.621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5E53A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0.534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BBC1E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797896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79278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Physical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EDE4C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6E470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80C9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-1.735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F710E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4F91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A348C5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80258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Sexual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2C09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7B173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5B6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0.064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AF8D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0.949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18B069"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BCC59B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93B3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61F47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EB5AC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0597C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0.753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D465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A0AAF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6FC377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99B47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AD18E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1A12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AF13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0.099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8B1AC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0.921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8EBD2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EC9865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E7F0E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1265C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0.065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D7472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0.180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278E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0.359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75949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0.719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D2D1D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5BF68C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3391E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70D3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6764B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90040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0.557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F7F6F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0.578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CAE4F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C6C0E6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24937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394E1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757B6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0B2CD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-1.479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38CC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0.139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FC2D8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5D1DE9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073C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Emotional Abuse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15AF1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0.126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EC035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0.193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8FA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0.654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278D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0.513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A22E2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49ADF2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5DDA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Emotional Abuse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5982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4BD2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E60E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0.892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C556A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0.372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9913D6"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67DAA0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705A2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3F425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E1CC7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6DD38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0.500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59149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0.617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7805A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CE74EC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F026D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0E88E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A5EED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C966E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-0.317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7E9FB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0.751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C1EE7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D54045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C553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Abuse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1D51B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D39A6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7B2C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-1.150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F3665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0.250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AA322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9CD5E7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7AAE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Sexual Abuse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A4B2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4E299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9E02B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-1.594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DAC1D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0.111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4AC75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9F76F1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AD041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8304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0.076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F9D4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213A9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2.228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D129C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3D050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12F27C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6E3F2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7A1EB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991B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5748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-1.265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8489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0.206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97EB6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5E803F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16218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11649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-0.626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4D4DF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0.244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B6189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-2.569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B04D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569D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EA67A0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C11D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751E2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1194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7076C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1.817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894D8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6F94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460E0DA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40A3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2929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0.052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173F0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DA528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1.282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BD99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0.200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F7F8B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A84783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E92E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C6ED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-0.239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89A79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0.257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EE394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-0.930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18E75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0.352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708AA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7BCAE4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04DBB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Physical Abuse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6E512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2D06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66518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-0.165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52556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0.869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A2199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020A3ED"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763C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E8D2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7AAC8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3A4F8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1.069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08B6C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0.285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8722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94A6A1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3D9FC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Abuse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285A1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15A7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611B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-1.414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A1732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0.157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CAFC9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694F698"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D4671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Physical Abuse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83D7C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A329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733B9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C127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0.317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1FF20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CAE023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C50F5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CTQ Emotional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E978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AFA4E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56EA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0.996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7E220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0.319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EBD09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F549C9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984EF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199F1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F7FA0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4001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0.982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7B69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0.326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82C1E0"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D100E1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8547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9D9D5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0.340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913D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0.152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6A78F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2.239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AF8A7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602FA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39392F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F8DF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22AB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1E404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9466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-2.445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1E589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38EA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EDC115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78AEF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D394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-0.040</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A78A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23C39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-1.725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3235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3E9B6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552E7AB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90F69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4FDD9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0.399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F587B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0.235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6403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1.698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D4C69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0.090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D428D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4A83DD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27BA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Sexual Abuse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29EF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39742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28B5E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-1.621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D76D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0.105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96A0E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14508D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A806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FDF5C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CB53E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F632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-3.335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6B573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FC90A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71F881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70FB3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627F6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BDF6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9F7D3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2.597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9336C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A9E0B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F48395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B443C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Sexual Abuse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99F5D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-0.056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87E2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8BE06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-1.731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D9C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C777B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285936F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CB94B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CTQ Physical Neglect</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161F6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BF9F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4BD0E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-0.197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9B0D0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0.844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FCC30"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0ED934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9D657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4941C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-0.092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6CF25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0.172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9AD0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-0.533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35515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0.594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7DECAE"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4767C6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381EF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08B7D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81ADF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FB28A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-1.216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5385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0.224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3B429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08614D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8FB50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20315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0.054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12D7F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F3D90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1.739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D9A14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E1D4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47FE1E7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DB6E0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Emotional Neglect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18D32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0.197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69DD2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0.198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570F5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0.995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F4707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0.320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A9837"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B56120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E2B22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Emotional Neglect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DAACC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2465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C4EB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4AAD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0.613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CB6E5F"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3BCB6D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FF208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9021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5798C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8C8A3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0.655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9F594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0.513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3148A4"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BCEBAF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BF01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A381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05C2E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1248B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-0.335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7C94E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0.737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696ED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99D35B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E6CBA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Emotional Neglect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1EA0C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-0.073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09C7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3E478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4C219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B2C78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3F67D6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21DB9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CTQ Minimization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F1CEE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0.275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9A48D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0.237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E9DF7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1.161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E8CE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0.245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06E5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E9035D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35213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475A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0.009</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570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C4BE6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0.718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C98A1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0.473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C2E32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4CD391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6F47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05FA3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5DF6A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C9E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-1.039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A4C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0.299</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53F43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7CD773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1460B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CFA7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-0.122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6AC9B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0.255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C9C41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-0.478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7509F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0.632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D0D8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5BD255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6384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Physical Neglect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E1BE1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46452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D7F05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-0.278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C072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0.781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B634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65F25C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D4B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59144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6AD0E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C753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-2.793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88EC1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6CC0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6EAD24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924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3366B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F71BF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F7DA9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2.719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8AD91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B6D3D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451C758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2A7F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Physical Neglect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42A05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0.136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0D51B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04B0D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3.054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0146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033BD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432B29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D5067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Trait Anxiety</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5AC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8F816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4232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A6A8F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0.984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AC5B2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3A217E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F99A7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A720F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-0.041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A79E6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0.084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75DCD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-0.488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A6201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0.626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2AC3B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8B8F0D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7B932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CTQ Minimization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CA17C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-0.023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FE4DC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0.592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F9F4F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37EB1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0.970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1F0A0"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3FCD38F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FCED6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CTQ Minimization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2B8A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7463D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8251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-1.381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23132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0.167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3BE6D"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923DEF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EF5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4A2A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1805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E4897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0.371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7AF64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0.710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47877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359A38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E105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3676B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4DD1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518A7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-0.745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393D3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0.456</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EF108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BC03E7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E3F48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CTQ Minimization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296B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-0.137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4134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0.133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345F6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-1.030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3C35A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0.303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E3159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0A7CD5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9115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C-Reactive Protein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8AA2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8342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15E43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-0.561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1956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0.575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CA44C"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578B212"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7CE19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E6272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79EFB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0.054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ED4D4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0.647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AF09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0.518</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ADA3F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8D8C7C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5426D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Trait Anxiety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63F3A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883CA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8C398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-1.750</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87958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0.080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7F6F2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6C5BA7A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3BF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7DFF4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-0.0000007</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723A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DEB35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-0.866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9351B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0.387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B1F6F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A9C6F9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BE10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3985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68053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9BFC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1.867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38299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0.062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A09C6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1CE3726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719D5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Trait Anxiety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AEEAC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0AC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0.011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8C1D2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0.727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47A3E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0.467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67D85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58B8E3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78E8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Gender (Female)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1315E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0.023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3CF2E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0.152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3E43A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0.148</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B74EE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0.882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5B45A5"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60D017F5"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DC254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C-Reactive Protein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8E14D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C1667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8513E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0.489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59B75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0.625</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DAB14A"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09D2E007"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33F51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4D2AB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6BDE3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39690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-2.084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7F2B7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0.037</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B2C8E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3EC06940"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E91B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CBF98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FBC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62573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0.753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B82CD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0.451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9D5B3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5EC55AD3"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929F2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C-Reactive Protein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F0926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0.101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2C6CC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0.034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55EA8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2.949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132D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D4261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7128FDCA"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3A4C2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 xml:space="preserve">Gender (Female) * Age </w:t>
            </w:r>
            <w:proofErr w:type="gramStart"/>
            <w:r w:rsidRPr="002D1216">
              <w:rPr>
                <w:rFonts w:ascii="Cambria" w:eastAsia="Calibri" w:hAnsi="Cambria" w:cs="Calibri"/>
                <w:b/>
                <w:color w:val="000000"/>
                <w:sz w:val="24"/>
                <w:szCs w:val="24"/>
              </w:rPr>
              <w:t>At</w:t>
            </w:r>
            <w:proofErr w:type="gramEnd"/>
            <w:r w:rsidRPr="002D1216">
              <w:rPr>
                <w:rFonts w:ascii="Cambria" w:eastAsia="Calibri" w:hAnsi="Cambria" w:cs="Calibri"/>
                <w:b/>
                <w:color w:val="000000"/>
                <w:sz w:val="24"/>
                <w:szCs w:val="24"/>
              </w:rPr>
              <w:t xml:space="preserve"> Interview</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879B6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60A8B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0.042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52B1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-0.892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C36E5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0.373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6C0C83"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1EB29DF"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9D266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Gender (Female)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D7B06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0.00005</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97884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550237"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2.555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29E5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0.011</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C16FC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00029D7C"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2296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Gender (Female)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EB22A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-0.00006</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9CDFB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E7BA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-2.133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A23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0.033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CF3A7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2985320B"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603EA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lastRenderedPageBreak/>
              <w:t>Gender (Female)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4FF3F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0.622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4E4E9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0.215</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29381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2.897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8B5C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423F5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w:t>
            </w:r>
          </w:p>
        </w:tc>
      </w:tr>
      <w:tr w:rsidR="00B10A77" w:rsidRPr="002D1216" w14:paraId="48A077B4"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DD9B5F"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 * Total Household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9E816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-0.0000008</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60F1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0.0000006</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0D258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-1.274</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651C1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0.203</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F33761"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C28B4C6"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1D0AC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33850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84413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0.000001</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C7316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1.432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FF6E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0.152</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6F700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7BAF3241"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ABE4A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Age At Interview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708508"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-0.004</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AC68F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0.009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4466B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-0.412</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6164E"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0.680</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32B0A2"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232E4E5E"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27EE0A"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Household Income * Total Income</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3A404"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0.0000000001</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17F1A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0.00000000009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9DDF4C"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 1.359</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8C1B5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0.174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026D78"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1490DAB9" w14:textId="77777777" w:rsidTr="00BF4B86">
        <w:trPr>
          <w:jc w:val="center"/>
        </w:trPr>
        <w:tc>
          <w:tcPr>
            <w:tcW w:w="396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812159"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Household Income * Highest Education</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E92BD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-0.000002</w:t>
            </w:r>
          </w:p>
        </w:tc>
        <w:tc>
          <w:tcPr>
            <w:tcW w:w="144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4304FD"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0.000003</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230E6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-0.577</w:t>
            </w:r>
          </w:p>
        </w:tc>
        <w:tc>
          <w:tcPr>
            <w:tcW w:w="86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BD9D0"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0.564</w:t>
            </w:r>
          </w:p>
        </w:tc>
        <w:tc>
          <w:tcPr>
            <w:tcW w:w="57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0FD5FB" w14:textId="77777777" w:rsidR="00B10A77" w:rsidRPr="002D1216" w:rsidRDefault="00B10A77" w:rsidP="002B0F75">
            <w:pPr>
              <w:spacing w:after="0" w:line="360" w:lineRule="auto"/>
              <w:rPr>
                <w:rFonts w:ascii="Cambria" w:eastAsia="Calibri" w:hAnsi="Cambria" w:cs="Calibri"/>
                <w:color w:val="000000"/>
                <w:sz w:val="24"/>
                <w:szCs w:val="24"/>
              </w:rPr>
            </w:pPr>
          </w:p>
        </w:tc>
      </w:tr>
      <w:tr w:rsidR="00B10A77" w:rsidRPr="002D1216" w14:paraId="43B01121" w14:textId="77777777" w:rsidTr="00BF4B86">
        <w:trPr>
          <w:jc w:val="center"/>
        </w:trPr>
        <w:tc>
          <w:tcPr>
            <w:tcW w:w="396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423AB33"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b/>
                <w:color w:val="000000"/>
                <w:sz w:val="24"/>
                <w:szCs w:val="24"/>
              </w:rPr>
              <w:t>Total Income * Highest Education</w:t>
            </w:r>
          </w:p>
        </w:tc>
        <w:tc>
          <w:tcPr>
            <w:tcW w:w="144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76B7BA6"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-0.0000008</w:t>
            </w:r>
          </w:p>
        </w:tc>
        <w:tc>
          <w:tcPr>
            <w:tcW w:w="144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1736B05"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0.000005</w:t>
            </w:r>
          </w:p>
        </w:tc>
        <w:tc>
          <w:tcPr>
            <w:tcW w:w="864"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3DD5EE2"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-0.152</w:t>
            </w:r>
          </w:p>
        </w:tc>
        <w:tc>
          <w:tcPr>
            <w:tcW w:w="864"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E8DC331"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0.879</w:t>
            </w:r>
          </w:p>
        </w:tc>
        <w:tc>
          <w:tcPr>
            <w:tcW w:w="576"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F860665" w14:textId="77777777" w:rsidR="00B10A77" w:rsidRPr="002D1216" w:rsidRDefault="00B10A77" w:rsidP="002B0F75">
            <w:pPr>
              <w:spacing w:after="0" w:line="360" w:lineRule="auto"/>
              <w:rPr>
                <w:rFonts w:ascii="Cambria" w:eastAsia="Calibri" w:hAnsi="Cambria" w:cs="Calibri"/>
                <w:color w:val="000000"/>
                <w:sz w:val="24"/>
                <w:szCs w:val="24"/>
              </w:rPr>
            </w:pPr>
          </w:p>
        </w:tc>
      </w:tr>
    </w:tbl>
    <w:p w14:paraId="548E00EB" w14:textId="77777777" w:rsidR="00B10A77" w:rsidRPr="002D1216" w:rsidRDefault="00B10A77" w:rsidP="002B0F75">
      <w:pPr>
        <w:spacing w:after="0" w:line="360" w:lineRule="auto"/>
        <w:rPr>
          <w:rFonts w:ascii="Cambria" w:eastAsia="Calibri" w:hAnsi="Cambria" w:cs="Calibri"/>
          <w:color w:val="000000"/>
          <w:sz w:val="24"/>
          <w:szCs w:val="24"/>
        </w:rPr>
      </w:pPr>
      <w:r w:rsidRPr="002D1216">
        <w:rPr>
          <w:rFonts w:ascii="Cambria" w:eastAsia="Calibri" w:hAnsi="Cambria" w:cs="Calibri"/>
          <w:color w:val="000000"/>
          <w:sz w:val="24"/>
          <w:szCs w:val="24"/>
        </w:rPr>
        <w:t xml:space="preserve">Dependent variable: Probability of taking long term medication for chronic pain (N = 600). </w:t>
      </w:r>
      <w:proofErr w:type="spellStart"/>
      <w:r w:rsidRPr="002D1216">
        <w:rPr>
          <w:rFonts w:ascii="Cambria" w:eastAsia="Calibri" w:hAnsi="Cambria" w:cs="Calibri"/>
          <w:color w:val="000000"/>
          <w:sz w:val="24"/>
          <w:szCs w:val="24"/>
        </w:rPr>
        <w:t>Signif</w:t>
      </w:r>
      <w:proofErr w:type="spellEnd"/>
      <w:r w:rsidRPr="002D1216">
        <w:rPr>
          <w:rFonts w:ascii="Cambria" w:eastAsia="Calibri" w:hAnsi="Cambria" w:cs="Calibri"/>
          <w:color w:val="000000"/>
          <w:sz w:val="24"/>
          <w:szCs w:val="24"/>
        </w:rPr>
        <w:t xml:space="preserve">. codes:  0 ‘***’ 0.001 ‘**’ 0.01 ‘*’ 0.05 ‘.’ 0.1 </w:t>
      </w:r>
      <w:proofErr w:type="gramStart"/>
      <w:r w:rsidRPr="002D1216">
        <w:rPr>
          <w:rFonts w:ascii="Cambria" w:eastAsia="Calibri" w:hAnsi="Cambria" w:cs="Calibri"/>
          <w:color w:val="000000"/>
          <w:sz w:val="24"/>
          <w:szCs w:val="24"/>
        </w:rPr>
        <w:t>‘ ’</w:t>
      </w:r>
      <w:proofErr w:type="gramEnd"/>
      <w:r w:rsidRPr="002D1216">
        <w:rPr>
          <w:rFonts w:ascii="Cambria" w:eastAsia="Calibri" w:hAnsi="Cambria" w:cs="Calibri"/>
          <w:color w:val="000000"/>
          <w:sz w:val="24"/>
          <w:szCs w:val="24"/>
        </w:rPr>
        <w:t xml:space="preserve"> 1. (Dispersion parameter for binomial family taken to be 1). Null deviance: 385.69 on 599 degrees of freedom. Residual deviance: 242.11 on 508 degrees of freedom AIC:</w:t>
      </w:r>
    </w:p>
    <w:p w14:paraId="42E0AB03" w14:textId="77777777" w:rsidR="00B10A77" w:rsidRDefault="00B10A77" w:rsidP="002B0F75">
      <w:pPr>
        <w:spacing w:line="360" w:lineRule="auto"/>
        <w:rPr>
          <w:rFonts w:ascii="Times New Roman" w:eastAsia="Times New Roman" w:hAnsi="Times New Roman" w:cs="Times New Roman"/>
          <w:b/>
          <w:bCs/>
          <w:kern w:val="36"/>
          <w:sz w:val="48"/>
          <w:szCs w:val="48"/>
        </w:rPr>
      </w:pPr>
      <w:r>
        <w:br w:type="page"/>
      </w:r>
    </w:p>
    <w:p w14:paraId="0303C444" w14:textId="0C8E1C4F" w:rsidR="009832C0" w:rsidRPr="00CD2F5C" w:rsidRDefault="009832C0" w:rsidP="002B0F75">
      <w:pPr>
        <w:pStyle w:val="Heading1"/>
        <w:spacing w:line="360" w:lineRule="auto"/>
      </w:pPr>
      <w:bookmarkStart w:id="177" w:name="_Toc181362888"/>
      <w:r>
        <w:lastRenderedPageBreak/>
        <w:t>Supplemental publications</w:t>
      </w:r>
      <w:bookmarkEnd w:id="177"/>
    </w:p>
    <w:p w14:paraId="428D27EA" w14:textId="77777777" w:rsidR="009832C0" w:rsidRPr="00CD2F5C" w:rsidRDefault="009832C0" w:rsidP="002B0F75">
      <w:pPr>
        <w:spacing w:line="360" w:lineRule="auto"/>
        <w:jc w:val="center"/>
        <w:rPr>
          <w:rFonts w:ascii="Cambria" w:hAnsi="Cambria" w:cstheme="minorHAnsi"/>
          <w:b/>
          <w:bCs/>
          <w:sz w:val="24"/>
          <w:szCs w:val="24"/>
        </w:rPr>
      </w:pPr>
      <w:r w:rsidRPr="00CD2F5C">
        <w:rPr>
          <w:rFonts w:ascii="Cambria" w:hAnsi="Cambria" w:cstheme="minorHAnsi"/>
          <w:b/>
          <w:bCs/>
          <w:sz w:val="24"/>
          <w:szCs w:val="24"/>
        </w:rPr>
        <w:t>Protocol publication: PROSPERO 2021</w:t>
      </w:r>
    </w:p>
    <w:p w14:paraId="3C41133A"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Published:</w:t>
      </w:r>
      <w:r w:rsidRPr="00CD2F5C">
        <w:rPr>
          <w:rFonts w:ascii="Cambria" w:hAnsi="Cambria"/>
          <w:sz w:val="24"/>
          <w:szCs w:val="24"/>
        </w:rPr>
        <w:t xml:space="preserve"> </w:t>
      </w:r>
      <w:hyperlink r:id="rId152" w:history="1">
        <w:r w:rsidRPr="00CD2F5C">
          <w:rPr>
            <w:rStyle w:val="Hyperlink"/>
            <w:rFonts w:ascii="Cambria" w:hAnsi="Cambria" w:cstheme="minorHAnsi"/>
            <w:sz w:val="24"/>
            <w:szCs w:val="24"/>
          </w:rPr>
          <w:t>https://www.crd.york.ac.uk/prospero/display_record.php?ID=CRD42021257706</w:t>
        </w:r>
      </w:hyperlink>
      <w:r w:rsidRPr="00CD2F5C">
        <w:rPr>
          <w:rFonts w:ascii="Cambria" w:hAnsi="Cambria" w:cstheme="minorHAnsi"/>
          <w:sz w:val="24"/>
          <w:szCs w:val="24"/>
        </w:rPr>
        <w:t xml:space="preserve"> </w:t>
      </w:r>
    </w:p>
    <w:p w14:paraId="278B7309"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Citation</w:t>
      </w:r>
    </w:p>
    <w:p w14:paraId="2BC8E761"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Danielle Dalechek, Anna Whittaker, Line </w:t>
      </w:r>
      <w:proofErr w:type="spellStart"/>
      <w:r w:rsidRPr="00CD2F5C">
        <w:rPr>
          <w:rFonts w:ascii="Cambria" w:hAnsi="Cambria" w:cstheme="minorHAnsi"/>
          <w:sz w:val="24"/>
          <w:szCs w:val="24"/>
        </w:rPr>
        <w:t>Caes</w:t>
      </w:r>
      <w:proofErr w:type="spellEnd"/>
      <w:r w:rsidRPr="00CD2F5C">
        <w:rPr>
          <w:rFonts w:ascii="Cambria" w:hAnsi="Cambria" w:cstheme="minorHAnsi"/>
          <w:sz w:val="24"/>
          <w:szCs w:val="24"/>
        </w:rPr>
        <w:t>, Gwenne McIntosh. Anxiety, history of childhood adversity, and experiencing chronic pain in adulthood: a systematic literature review. PROSPERO 2021 CRD42021257706 Available from: </w:t>
      </w:r>
      <w:hyperlink r:id="rId153" w:tgtFrame="_self" w:history="1">
        <w:r w:rsidRPr="00CD2F5C">
          <w:rPr>
            <w:rStyle w:val="Hyperlink"/>
            <w:rFonts w:ascii="Cambria" w:hAnsi="Cambria" w:cstheme="minorHAnsi"/>
            <w:sz w:val="24"/>
            <w:szCs w:val="24"/>
          </w:rPr>
          <w:t>https://www.crd.york.ac.uk/prospero/display_record.php?ID=CRD42021257706</w:t>
        </w:r>
      </w:hyperlink>
    </w:p>
    <w:p w14:paraId="5561362D"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Review question</w:t>
      </w:r>
    </w:p>
    <w:p w14:paraId="0D68303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Is there a relationship between anxiety, childhood adversity, and chronic pain experiences in adulthood?</w:t>
      </w:r>
    </w:p>
    <w:p w14:paraId="710DAB74"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Searches</w:t>
      </w:r>
    </w:p>
    <w:p w14:paraId="3477714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Sources: PubMed: MEDLINE, PsycINFO, </w:t>
      </w:r>
      <w:proofErr w:type="spellStart"/>
      <w:r w:rsidRPr="00CD2F5C">
        <w:rPr>
          <w:rFonts w:ascii="Cambria" w:hAnsi="Cambria" w:cstheme="minorHAnsi"/>
          <w:sz w:val="24"/>
          <w:szCs w:val="24"/>
        </w:rPr>
        <w:t>PsycARTICLES</w:t>
      </w:r>
      <w:proofErr w:type="spellEnd"/>
      <w:r w:rsidRPr="00CD2F5C">
        <w:rPr>
          <w:rFonts w:ascii="Cambria" w:hAnsi="Cambria" w:cstheme="minorHAnsi"/>
          <w:sz w:val="24"/>
          <w:szCs w:val="24"/>
        </w:rPr>
        <w:t xml:space="preserve">; Embase, and </w:t>
      </w:r>
      <w:proofErr w:type="spellStart"/>
      <w:r w:rsidRPr="00CD2F5C">
        <w:rPr>
          <w:rFonts w:ascii="Cambria" w:hAnsi="Cambria" w:cstheme="minorHAnsi"/>
          <w:sz w:val="24"/>
          <w:szCs w:val="24"/>
        </w:rPr>
        <w:t>OpenGrey</w:t>
      </w:r>
      <w:proofErr w:type="spellEnd"/>
      <w:r w:rsidRPr="00CD2F5C">
        <w:rPr>
          <w:rFonts w:ascii="Cambria" w:hAnsi="Cambria" w:cstheme="minorHAnsi"/>
          <w:sz w:val="24"/>
          <w:szCs w:val="24"/>
        </w:rPr>
        <w:t>.</w:t>
      </w:r>
    </w:p>
    <w:p w14:paraId="6542BA64"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The following search restrictions will be applied:</w:t>
      </w:r>
    </w:p>
    <w:p w14:paraId="4BF56E3C"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Language of publication: English;</w:t>
      </w:r>
    </w:p>
    <w:p w14:paraId="2192E0D2"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Participants: Human;</w:t>
      </w:r>
    </w:p>
    <w:p w14:paraId="1AC796C8"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Dates: last 20 years.</w:t>
      </w:r>
    </w:p>
    <w:p w14:paraId="75F03CDC"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Additional search strategy information can be found in the attached PDF document (link provided below).</w:t>
      </w:r>
    </w:p>
    <w:p w14:paraId="1C5BCBB2"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Types of study to be included</w:t>
      </w:r>
    </w:p>
    <w:p w14:paraId="08A2243D"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Inclusion criteria:</w:t>
      </w:r>
    </w:p>
    <w:p w14:paraId="4F54F0F5"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lastRenderedPageBreak/>
        <w:t>Cross-sectional, interventional, longitudinal, applicable grey literature reviews, which explicitly report on anxiety, ACEs, and chronic pain or possible relationships between these variables.</w:t>
      </w:r>
    </w:p>
    <w:p w14:paraId="08ACB4B5"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Condition or domain being studied</w:t>
      </w:r>
    </w:p>
    <w:p w14:paraId="649D4517"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Anxiety, including symptoms and disorders.</w:t>
      </w:r>
    </w:p>
    <w:p w14:paraId="00706C2F"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A history of childhood adverse experiences (ACEs) or trauma.</w:t>
      </w:r>
    </w:p>
    <w:p w14:paraId="73F2FEF8"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Chronic pain experiences.</w:t>
      </w:r>
    </w:p>
    <w:p w14:paraId="4C2C5D44"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Early-life adversities lay a critical foundation for health outcomes later in life, and there are already higher rates of chronic pain in adolescents who have reported one or more ACEs. A challenging feature when considering the public health implications of anxiety, ACEs, and pain is that chronic pain tends to be multifaceted in terms of psychosocial effects. The experience of living with chronic pain requires considerable emotional resilience. Financially, pain is a major factor that affects psychological stress in workers, and the cost of pain‐related lost productivity was $335 billion in the United States (Sakamoto et al., 2019). This makes the annual cost of pain greater than lifestyle diseases (such as heart disease, cancer, diabetes). While anxiety can be a normal response in stressful situations, it shifts to being an indicator of underlying disease when feelings transition to excessive, all-consuming, and interfering with daily living. Anxiety can induce chronic pain by activating astrocytes in the anterior cingulate cortex region. The mechanism proposed is that anxiety increases the central sensitivity of pain by regulating corticotropin‐releasing and inflammatory factors (Gu et al., 2019; Du et al., 2019).</w:t>
      </w:r>
    </w:p>
    <w:p w14:paraId="5D02D1BE"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Participants/population</w:t>
      </w:r>
    </w:p>
    <w:p w14:paraId="50355045"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The target population is adults who experience chronic pain (with anxiety and reported childhood adversity).</w:t>
      </w:r>
    </w:p>
    <w:p w14:paraId="285556A3"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Primary subjects to include adults 18 years of age and older.</w:t>
      </w:r>
    </w:p>
    <w:p w14:paraId="6CE9707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Inclusion criteria:</w:t>
      </w:r>
    </w:p>
    <w:p w14:paraId="528BBF5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Adults at least 18 years of age with:</w:t>
      </w:r>
    </w:p>
    <w:p w14:paraId="56379B02"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lastRenderedPageBreak/>
        <w:t>• Self-reported or diagnosed chronic pain (I.e., pain lasting for more than 3 months);</w:t>
      </w:r>
    </w:p>
    <w:p w14:paraId="2E427CFC"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Reported history of childhood adversity as exposure or adversity score;</w:t>
      </w:r>
    </w:p>
    <w:p w14:paraId="47C1A08B"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Reported anxiety diagnosis or symptoms (at any point across the lifespan).</w:t>
      </w:r>
    </w:p>
    <w:p w14:paraId="6A38DBE5"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Exclusion criteria:</w:t>
      </w:r>
    </w:p>
    <w:p w14:paraId="2258D38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Less than 18 years of age with:</w:t>
      </w:r>
    </w:p>
    <w:p w14:paraId="44B6EA9B"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No anxiety;</w:t>
      </w:r>
    </w:p>
    <w:p w14:paraId="385327FB"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No chronic pain;</w:t>
      </w:r>
    </w:p>
    <w:p w14:paraId="6931A2B2"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No childhood adversity.</w:t>
      </w:r>
    </w:p>
    <w:p w14:paraId="303B70B0"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Intervention(s), exposure(s)</w:t>
      </w:r>
    </w:p>
    <w:p w14:paraId="735EEA9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Inclusion criteria:</w:t>
      </w:r>
    </w:p>
    <w:p w14:paraId="1B5AE78B"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Chronic pain experiences;</w:t>
      </w:r>
    </w:p>
    <w:p w14:paraId="097191FF"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 Assessed history of self-reported childhood adversity and anxiety.</w:t>
      </w:r>
    </w:p>
    <w:p w14:paraId="64FA9696"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Comparator(s)/control</w:t>
      </w:r>
    </w:p>
    <w:p w14:paraId="7C6FE61C"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None.</w:t>
      </w:r>
    </w:p>
    <w:p w14:paraId="6BDBB668"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Context</w:t>
      </w:r>
    </w:p>
    <w:p w14:paraId="66F1A5E5"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This review aims to focus on self-reported or clinically diagnosed chronic pain in adults with a history of childhood adversity and later anxiety, whether diagnosed or self-reported. While childhood adversity and depression have been explored in the context of chronic pain, no study has examined how anxiety may instead be the associated factor influencing pain outcomes, particularly when considering the systemic changes trauma during developmental years can permanently alter by adulthood. Being a review of existing data, the context of data reported may not always be provided to determine official diagnoses.</w:t>
      </w:r>
    </w:p>
    <w:p w14:paraId="5F76349B"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Main outcome(s)</w:t>
      </w:r>
    </w:p>
    <w:p w14:paraId="54CD062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lastRenderedPageBreak/>
        <w:t>The primary outcome will be the relationship between the variables of anxiety and a history of childhood adversity (measured by self-report or objectively) and the variable of chronic pain in adults (measured by self-report or objectively).</w:t>
      </w:r>
    </w:p>
    <w:p w14:paraId="5872234B" w14:textId="77777777" w:rsidR="009832C0" w:rsidRPr="00CD2F5C" w:rsidRDefault="009832C0" w:rsidP="002B0F75">
      <w:pPr>
        <w:spacing w:line="360" w:lineRule="auto"/>
        <w:rPr>
          <w:rFonts w:ascii="Cambria" w:hAnsi="Cambria" w:cstheme="minorHAnsi"/>
          <w:b/>
          <w:bCs/>
          <w:i/>
          <w:iCs/>
          <w:sz w:val="24"/>
          <w:szCs w:val="24"/>
        </w:rPr>
      </w:pPr>
      <w:r w:rsidRPr="00CD2F5C">
        <w:rPr>
          <w:rFonts w:ascii="Cambria" w:hAnsi="Cambria" w:cstheme="minorHAnsi"/>
          <w:b/>
          <w:bCs/>
          <w:i/>
          <w:iCs/>
          <w:sz w:val="24"/>
          <w:szCs w:val="24"/>
        </w:rPr>
        <w:t>Measures of effect</w:t>
      </w:r>
    </w:p>
    <w:p w14:paraId="2DC0CA44"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Not applicable.</w:t>
      </w:r>
    </w:p>
    <w:p w14:paraId="581C5A42"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Additional outcome(s)</w:t>
      </w:r>
    </w:p>
    <w:p w14:paraId="52BF81B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None.</w:t>
      </w:r>
    </w:p>
    <w:p w14:paraId="17E077B1" w14:textId="77777777" w:rsidR="009832C0" w:rsidRPr="00CD2F5C" w:rsidRDefault="009832C0" w:rsidP="002B0F75">
      <w:pPr>
        <w:spacing w:line="360" w:lineRule="auto"/>
        <w:rPr>
          <w:rFonts w:ascii="Cambria" w:hAnsi="Cambria" w:cstheme="minorHAnsi"/>
          <w:b/>
          <w:bCs/>
          <w:i/>
          <w:iCs/>
          <w:sz w:val="24"/>
          <w:szCs w:val="24"/>
        </w:rPr>
      </w:pPr>
      <w:r w:rsidRPr="00CD2F5C">
        <w:rPr>
          <w:rFonts w:ascii="Cambria" w:hAnsi="Cambria" w:cstheme="minorHAnsi"/>
          <w:b/>
          <w:bCs/>
          <w:i/>
          <w:iCs/>
          <w:sz w:val="24"/>
          <w:szCs w:val="24"/>
        </w:rPr>
        <w:t>Measures of effect</w:t>
      </w:r>
    </w:p>
    <w:p w14:paraId="195C80D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Not applicable.</w:t>
      </w:r>
    </w:p>
    <w:p w14:paraId="0CC79326"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Data extraction (selection and coding)</w:t>
      </w:r>
    </w:p>
    <w:p w14:paraId="5F64C084"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Search results will be downloaded to Rayyan reference management software.</w:t>
      </w:r>
    </w:p>
    <w:p w14:paraId="373A6C2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Studies will be selected in accordance with the eligibility criteria outlined above.</w:t>
      </w:r>
    </w:p>
    <w:p w14:paraId="5753289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Titles and abstracts of search hits will be screened against the inclusion criteria by one author, reviewed, and irrelevant studies excluded.</w:t>
      </w:r>
    </w:p>
    <w:p w14:paraId="2C48492C"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Articles retained at this stage will undergo full text review with further studies being excluded.</w:t>
      </w:r>
    </w:p>
    <w:p w14:paraId="6C2BF88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The full texts of papers that cannot be excluded during the initial screening will be assessed independently and the dataset of included papers finalized.</w:t>
      </w:r>
    </w:p>
    <w:p w14:paraId="6DEAEB5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Disagreements in the screening process will be resolved by consensus or another reviewer based on the availability of my three supervisors.</w:t>
      </w:r>
    </w:p>
    <w:p w14:paraId="6853A31A"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Data will then be extracted from the studies selected for inclusion.</w:t>
      </w:r>
    </w:p>
    <w:p w14:paraId="6BA4FA54"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Risk of bias (quality) assessment</w:t>
      </w:r>
    </w:p>
    <w:p w14:paraId="33245935"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Quality will be assessed via the Joanna Briggs Institute critical appraisal checklist.</w:t>
      </w:r>
    </w:p>
    <w:p w14:paraId="147F274A"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Strategy for data synthesis</w:t>
      </w:r>
    </w:p>
    <w:p w14:paraId="6D12FDF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lastRenderedPageBreak/>
        <w:t>It is most likely that a best-evidence synthesis which takes account of both the association and study quality will be the most appropriate. This approach has been used previously in systematic reviews of health outcomes.</w:t>
      </w:r>
    </w:p>
    <w:p w14:paraId="0CA62D3A"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The data are reviewed and three levels of evidence are considered:</w:t>
      </w:r>
    </w:p>
    <w:p w14:paraId="5E21AF9C"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1. strong evidence: consistent (i.e. at least 75% of studies show results in the same direction) results in &gt;= 2 high quality studies;</w:t>
      </w:r>
    </w:p>
    <w:p w14:paraId="4D5ACD96"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2. moderate evidence: consistent results in one high quality study and at least one weak quality study; or consistent results in &gt;= 2 weak quality studies;</w:t>
      </w:r>
    </w:p>
    <w:p w14:paraId="2F8DCC22" w14:textId="77777777" w:rsidR="009832C0" w:rsidRPr="00CD2F5C" w:rsidRDefault="009832C0" w:rsidP="002B0F75">
      <w:pPr>
        <w:spacing w:line="360" w:lineRule="auto"/>
        <w:ind w:left="720"/>
        <w:rPr>
          <w:rFonts w:ascii="Cambria" w:hAnsi="Cambria" w:cstheme="minorHAnsi"/>
          <w:sz w:val="24"/>
          <w:szCs w:val="24"/>
        </w:rPr>
      </w:pPr>
      <w:r w:rsidRPr="00CD2F5C">
        <w:rPr>
          <w:rFonts w:ascii="Cambria" w:hAnsi="Cambria" w:cstheme="minorHAnsi"/>
          <w:sz w:val="24"/>
          <w:szCs w:val="24"/>
        </w:rPr>
        <w:t>3. Insufficient evidence: only one available study; or inconsistent results in &gt;=2 studies.</w:t>
      </w:r>
    </w:p>
    <w:p w14:paraId="6DDD099E"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Analysis of subgroups or subsets</w:t>
      </w:r>
    </w:p>
    <w:p w14:paraId="53C6E75C" w14:textId="2D037E2E"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Being a review of existing data, the context of data reported may not always be provided to determine official diagnoses. With that in mind, studies will be </w:t>
      </w:r>
      <w:r w:rsidR="0063342B" w:rsidRPr="00CD2F5C">
        <w:rPr>
          <w:rFonts w:ascii="Cambria" w:hAnsi="Cambria" w:cstheme="minorHAnsi"/>
          <w:sz w:val="24"/>
          <w:szCs w:val="24"/>
        </w:rPr>
        <w:t>analysed</w:t>
      </w:r>
      <w:r w:rsidRPr="00CD2F5C">
        <w:rPr>
          <w:rFonts w:ascii="Cambria" w:hAnsi="Cambria" w:cstheme="minorHAnsi"/>
          <w:sz w:val="24"/>
          <w:szCs w:val="24"/>
        </w:rPr>
        <w:t xml:space="preserve"> with consideration for subgrouping such as self-reported pain versus objective/diagnosed pain. Subgroups for anxiety disorder versus anxiety symptomology will also be examined. If the information permits, ethnicity and sex will also be explored.</w:t>
      </w:r>
    </w:p>
    <w:p w14:paraId="10A6A318"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Contact details for further information</w:t>
      </w:r>
    </w:p>
    <w:p w14:paraId="63CB8E0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Danielle Dalechek</w:t>
      </w:r>
    </w:p>
    <w:p w14:paraId="1315B416"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defd911@gmail.com</w:t>
      </w:r>
    </w:p>
    <w:p w14:paraId="42AA7347"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Organisational affiliation of the review</w:t>
      </w:r>
    </w:p>
    <w:p w14:paraId="201548F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University of Stirling</w:t>
      </w:r>
    </w:p>
    <w:p w14:paraId="6B9D8505" w14:textId="77777777" w:rsidR="009832C0" w:rsidRPr="00CD2F5C" w:rsidRDefault="009832C0" w:rsidP="002B0F75">
      <w:pPr>
        <w:spacing w:line="360" w:lineRule="auto"/>
        <w:rPr>
          <w:rFonts w:ascii="Cambria" w:hAnsi="Cambria" w:cstheme="minorHAnsi"/>
          <w:sz w:val="24"/>
          <w:szCs w:val="24"/>
        </w:rPr>
      </w:pPr>
      <w:hyperlink r:id="rId154" w:history="1">
        <w:r w:rsidRPr="00CD2F5C">
          <w:rPr>
            <w:rStyle w:val="Hyperlink"/>
            <w:rFonts w:ascii="Cambria" w:hAnsi="Cambria" w:cstheme="minorHAnsi"/>
            <w:sz w:val="24"/>
            <w:szCs w:val="24"/>
          </w:rPr>
          <w:t>https://www.stir.ac.uk/</w:t>
        </w:r>
      </w:hyperlink>
    </w:p>
    <w:p w14:paraId="150507BB"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Review team members and their organisational affiliations</w:t>
      </w:r>
    </w:p>
    <w:p w14:paraId="7D064E9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Ms Danielle Dalechek. University of Stirling</w:t>
      </w:r>
      <w:r w:rsidRPr="00CD2F5C">
        <w:rPr>
          <w:rFonts w:ascii="Cambria" w:hAnsi="Cambria" w:cstheme="minorHAnsi"/>
          <w:sz w:val="24"/>
          <w:szCs w:val="24"/>
        </w:rPr>
        <w:br/>
        <w:t>Professor Anna Whittaker. University of Stirling</w:t>
      </w:r>
      <w:r w:rsidRPr="00CD2F5C">
        <w:rPr>
          <w:rFonts w:ascii="Cambria" w:hAnsi="Cambria" w:cstheme="minorHAnsi"/>
          <w:sz w:val="24"/>
          <w:szCs w:val="24"/>
        </w:rPr>
        <w:br/>
      </w:r>
      <w:r w:rsidRPr="00CD2F5C">
        <w:rPr>
          <w:rFonts w:ascii="Cambria" w:hAnsi="Cambria" w:cstheme="minorHAnsi"/>
          <w:sz w:val="24"/>
          <w:szCs w:val="24"/>
        </w:rPr>
        <w:lastRenderedPageBreak/>
        <w:t xml:space="preserve">Dr Line </w:t>
      </w:r>
      <w:proofErr w:type="spellStart"/>
      <w:r w:rsidRPr="00CD2F5C">
        <w:rPr>
          <w:rFonts w:ascii="Cambria" w:hAnsi="Cambria" w:cstheme="minorHAnsi"/>
          <w:sz w:val="24"/>
          <w:szCs w:val="24"/>
        </w:rPr>
        <w:t>Caes</w:t>
      </w:r>
      <w:proofErr w:type="spellEnd"/>
      <w:r w:rsidRPr="00CD2F5C">
        <w:rPr>
          <w:rFonts w:ascii="Cambria" w:hAnsi="Cambria" w:cstheme="minorHAnsi"/>
          <w:sz w:val="24"/>
          <w:szCs w:val="24"/>
        </w:rPr>
        <w:t>. University of Stirling</w:t>
      </w:r>
      <w:r w:rsidRPr="00CD2F5C">
        <w:rPr>
          <w:rFonts w:ascii="Cambria" w:hAnsi="Cambria" w:cstheme="minorHAnsi"/>
          <w:sz w:val="24"/>
          <w:szCs w:val="24"/>
        </w:rPr>
        <w:br/>
        <w:t>Dr Gwenne McIntosh. University of Stirling</w:t>
      </w:r>
    </w:p>
    <w:p w14:paraId="7602303A"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Collaborators</w:t>
      </w:r>
    </w:p>
    <w:p w14:paraId="4D01099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Professor Anna Whittaker. University of Stirling</w:t>
      </w:r>
      <w:r w:rsidRPr="00CD2F5C">
        <w:rPr>
          <w:rFonts w:ascii="Cambria" w:hAnsi="Cambria" w:cstheme="minorHAnsi"/>
          <w:sz w:val="24"/>
          <w:szCs w:val="24"/>
        </w:rPr>
        <w:br/>
        <w:t xml:space="preserve">Dr Line </w:t>
      </w:r>
      <w:proofErr w:type="spellStart"/>
      <w:r w:rsidRPr="00CD2F5C">
        <w:rPr>
          <w:rFonts w:ascii="Cambria" w:hAnsi="Cambria" w:cstheme="minorHAnsi"/>
          <w:sz w:val="24"/>
          <w:szCs w:val="24"/>
        </w:rPr>
        <w:t>Caes</w:t>
      </w:r>
      <w:proofErr w:type="spellEnd"/>
      <w:r w:rsidRPr="00CD2F5C">
        <w:rPr>
          <w:rFonts w:ascii="Cambria" w:hAnsi="Cambria" w:cstheme="minorHAnsi"/>
          <w:sz w:val="24"/>
          <w:szCs w:val="24"/>
        </w:rPr>
        <w:t>. University of Stirling</w:t>
      </w:r>
      <w:r w:rsidRPr="00CD2F5C">
        <w:rPr>
          <w:rFonts w:ascii="Cambria" w:hAnsi="Cambria" w:cstheme="minorHAnsi"/>
          <w:sz w:val="24"/>
          <w:szCs w:val="24"/>
        </w:rPr>
        <w:br/>
        <w:t>Dr Gwenne McIntosh. University of Stirling</w:t>
      </w:r>
    </w:p>
    <w:p w14:paraId="3BD9F50B"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Type and method of review</w:t>
      </w:r>
    </w:p>
    <w:p w14:paraId="339A854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Epidemiologic, Systematic review</w:t>
      </w:r>
    </w:p>
    <w:p w14:paraId="49F6FBC9"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Anticipated or actual start date</w:t>
      </w:r>
    </w:p>
    <w:p w14:paraId="23261A73"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15 August 2021</w:t>
      </w:r>
    </w:p>
    <w:p w14:paraId="07D16BBF"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Anticipated completion date</w:t>
      </w:r>
    </w:p>
    <w:p w14:paraId="081F3A2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15 December 2021</w:t>
      </w:r>
    </w:p>
    <w:p w14:paraId="3107CE9A"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Funding sources/sponsors</w:t>
      </w:r>
    </w:p>
    <w:p w14:paraId="138DC643"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University of Stirling is the sponsor</w:t>
      </w:r>
    </w:p>
    <w:p w14:paraId="40FBA36D"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Conflicts of interest</w:t>
      </w:r>
    </w:p>
    <w:p w14:paraId="10B95116"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Language</w:t>
      </w:r>
    </w:p>
    <w:p w14:paraId="30686D3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English</w:t>
      </w:r>
    </w:p>
    <w:p w14:paraId="3132C7F9"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Country</w:t>
      </w:r>
    </w:p>
    <w:p w14:paraId="042E7201"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Scotland</w:t>
      </w:r>
    </w:p>
    <w:p w14:paraId="04D83BFA"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Stage of review</w:t>
      </w:r>
    </w:p>
    <w:p w14:paraId="76818E5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Review Ongoing</w:t>
      </w:r>
    </w:p>
    <w:p w14:paraId="633F1D29"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Subject index terms status</w:t>
      </w:r>
    </w:p>
    <w:p w14:paraId="074EA183"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Subject indexing assigned by CRD</w:t>
      </w:r>
    </w:p>
    <w:p w14:paraId="6E96DC7A"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lastRenderedPageBreak/>
        <w:t>Subject index terms</w:t>
      </w:r>
    </w:p>
    <w:p w14:paraId="2C9535D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Adult; Adult Survivors of Child Adverse Events; Anxiety; Anxiety Disorders; Child; Child Health; Chronic Pain; Humans; Mental Disorders; Mental Health; Pain; Risk Factors</w:t>
      </w:r>
    </w:p>
    <w:p w14:paraId="73408819"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Date of registration in PROSPERO</w:t>
      </w:r>
    </w:p>
    <w:p w14:paraId="0DB209FE"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10 August 2021</w:t>
      </w:r>
    </w:p>
    <w:p w14:paraId="0235FFC3"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Date of first submission</w:t>
      </w:r>
    </w:p>
    <w:p w14:paraId="6CA18EF0"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06 August 2021</w:t>
      </w:r>
    </w:p>
    <w:p w14:paraId="0CF588C0"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Versions</w:t>
      </w:r>
    </w:p>
    <w:p w14:paraId="428BE605" w14:textId="77777777" w:rsidR="009832C0" w:rsidRPr="00CD2F5C" w:rsidRDefault="009832C0" w:rsidP="002B0F75">
      <w:pPr>
        <w:spacing w:line="360" w:lineRule="auto"/>
        <w:rPr>
          <w:rFonts w:ascii="Cambria" w:hAnsi="Cambria" w:cstheme="minorHAnsi"/>
          <w:sz w:val="24"/>
          <w:szCs w:val="24"/>
        </w:rPr>
      </w:pPr>
      <w:hyperlink r:id="rId155" w:tgtFrame="_self" w:history="1">
        <w:r w:rsidRPr="00CD2F5C">
          <w:rPr>
            <w:rStyle w:val="Hyperlink"/>
            <w:rFonts w:ascii="Cambria" w:hAnsi="Cambria" w:cstheme="minorHAnsi"/>
            <w:sz w:val="24"/>
            <w:szCs w:val="24"/>
          </w:rPr>
          <w:t>10 August 2021</w:t>
        </w:r>
      </w:hyperlink>
    </w:p>
    <w:p w14:paraId="0C043778" w14:textId="77777777" w:rsidR="009832C0" w:rsidRPr="00CD2F5C" w:rsidRDefault="009832C0" w:rsidP="002B0F75">
      <w:pPr>
        <w:spacing w:line="360" w:lineRule="auto"/>
        <w:rPr>
          <w:rFonts w:ascii="Cambria" w:hAnsi="Cambria" w:cstheme="minorHAnsi"/>
          <w:sz w:val="24"/>
          <w:szCs w:val="24"/>
        </w:rPr>
      </w:pPr>
    </w:p>
    <w:p w14:paraId="18D0AE6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br w:type="page"/>
      </w:r>
    </w:p>
    <w:p w14:paraId="18BFFEB6" w14:textId="77777777" w:rsidR="009832C0" w:rsidRPr="00CD2F5C" w:rsidRDefault="009832C0" w:rsidP="002B0F75">
      <w:pPr>
        <w:spacing w:line="360" w:lineRule="auto"/>
        <w:jc w:val="center"/>
        <w:rPr>
          <w:rFonts w:ascii="Cambria" w:hAnsi="Cambria" w:cstheme="minorHAnsi"/>
          <w:b/>
          <w:bCs/>
          <w:sz w:val="24"/>
          <w:szCs w:val="24"/>
        </w:rPr>
      </w:pPr>
      <w:r w:rsidRPr="00CD2F5C">
        <w:rPr>
          <w:rFonts w:ascii="Cambria" w:hAnsi="Cambria" w:cstheme="minorHAnsi"/>
          <w:b/>
          <w:bCs/>
          <w:sz w:val="24"/>
          <w:szCs w:val="24"/>
        </w:rPr>
        <w:lastRenderedPageBreak/>
        <w:t>University of Stirling special issue 2022/2023</w:t>
      </w:r>
    </w:p>
    <w:p w14:paraId="189B5CA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Article Published: </w:t>
      </w:r>
      <w:hyperlink r:id="rId156" w:history="1">
        <w:r w:rsidRPr="00CD2F5C">
          <w:rPr>
            <w:rStyle w:val="Hyperlink"/>
            <w:rFonts w:ascii="Cambria" w:hAnsi="Cambria" w:cstheme="minorHAnsi"/>
            <w:sz w:val="24"/>
            <w:szCs w:val="24"/>
          </w:rPr>
          <w:t>https://spark.stir.ac.uk/issues/issue-8/issue-8-anxiety-dalechek</w:t>
        </w:r>
      </w:hyperlink>
      <w:r w:rsidRPr="00CD2F5C">
        <w:rPr>
          <w:rFonts w:ascii="Cambria" w:hAnsi="Cambria" w:cstheme="minorHAnsi"/>
          <w:sz w:val="24"/>
          <w:szCs w:val="24"/>
        </w:rPr>
        <w:t xml:space="preserve"> </w:t>
      </w:r>
    </w:p>
    <w:p w14:paraId="1B3EC9B7"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Anxiety and Pain: Mental Health is also Physical</w:t>
      </w:r>
    </w:p>
    <w:p w14:paraId="52CD30C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b/>
          <w:bCs/>
          <w:sz w:val="24"/>
          <w:szCs w:val="24"/>
        </w:rPr>
        <w:t>Abstract:</w:t>
      </w:r>
      <w:r w:rsidRPr="00CD2F5C">
        <w:rPr>
          <w:rFonts w:ascii="Cambria" w:hAnsi="Cambria" w:cstheme="minorHAnsi"/>
          <w:sz w:val="24"/>
          <w:szCs w:val="24"/>
        </w:rPr>
        <w:t xml:space="preserve"> The primary objective of this retrospective analysis was to investigate the relationship between chronic pain and anxiety diagnosis. The secondary objective was to examine migraine occurrence in those with or without anxiety It was hypothesized a relationship would be significant for both. The </w:t>
      </w:r>
      <w:proofErr w:type="spellStart"/>
      <w:r w:rsidRPr="00CD2F5C">
        <w:rPr>
          <w:rFonts w:ascii="Cambria" w:hAnsi="Cambria" w:cstheme="minorHAnsi"/>
          <w:sz w:val="24"/>
          <w:szCs w:val="24"/>
        </w:rPr>
        <w:t>ReCenter</w:t>
      </w:r>
      <w:proofErr w:type="spellEnd"/>
      <w:r w:rsidRPr="00CD2F5C">
        <w:rPr>
          <w:rFonts w:ascii="Cambria" w:hAnsi="Cambria" w:cstheme="minorHAnsi"/>
          <w:sz w:val="24"/>
          <w:szCs w:val="24"/>
        </w:rPr>
        <w:t xml:space="preserve"> database used was the PROMIS Profiles-HUI data, which included the data of 3000 randomly selected adults, age 18 or over. Identifying as female increased the odds of reporting anxiety by 39.9%. Age was negatively correlated with the presence of anxiety. It was found that having anxiety increased the chance of migraine occurrence, particularly for patients identified as female. Overall, there were some significant associations between pain experiences and anxiety, specifically with general health and pain caused by emotional tension. This information could be useful to future research and treatment outcomes when considering the challenges and disparities in treating chronic pain, including gender.</w:t>
      </w:r>
    </w:p>
    <w:p w14:paraId="24D5C83F" w14:textId="77777777" w:rsidR="009832C0" w:rsidRPr="00CD2F5C" w:rsidRDefault="009832C0" w:rsidP="002B0F75">
      <w:pPr>
        <w:spacing w:line="360" w:lineRule="auto"/>
        <w:rPr>
          <w:rFonts w:ascii="Cambria" w:hAnsi="Cambria" w:cstheme="minorHAnsi"/>
          <w:b/>
          <w:bCs/>
          <w:iCs/>
          <w:sz w:val="24"/>
          <w:szCs w:val="24"/>
        </w:rPr>
      </w:pPr>
      <w:r w:rsidRPr="00CD2F5C">
        <w:rPr>
          <w:rFonts w:ascii="Cambria" w:hAnsi="Cambria" w:cstheme="minorHAnsi"/>
          <w:b/>
          <w:bCs/>
          <w:iCs/>
          <w:sz w:val="24"/>
          <w:szCs w:val="24"/>
        </w:rPr>
        <w:t>Background</w:t>
      </w:r>
    </w:p>
    <w:p w14:paraId="386FCCF6" w14:textId="7A0C885E"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 xml:space="preserve">During traumatic and intense experiences, the brain is in a heightened state of stress and this stress can have drastic impacts over time. To date, the existing research has focused on </w:t>
      </w:r>
      <w:r w:rsidR="0003790A" w:rsidRPr="00CD2F5C">
        <w:rPr>
          <w:rFonts w:ascii="Cambria" w:hAnsi="Cambria" w:cstheme="minorHAnsi"/>
          <w:iCs/>
          <w:sz w:val="24"/>
          <w:szCs w:val="24"/>
        </w:rPr>
        <w:t>behaviour</w:t>
      </w:r>
      <w:r w:rsidRPr="00CD2F5C">
        <w:rPr>
          <w:rFonts w:ascii="Cambria" w:hAnsi="Cambria" w:cstheme="minorHAnsi"/>
          <w:iCs/>
          <w:sz w:val="24"/>
          <w:szCs w:val="24"/>
        </w:rPr>
        <w:t>, emotional development, mental, and physical health after stress. However, there has not been enough data to support a direct link between anxiety specifically and the experience of chronic pain without depression acting as a mediator. The long-term impacts of hyperarousal experienced in high anxiety and stress are not fully understood when considering pain, although studies on depression and PTSD have previously been examined in this context.</w:t>
      </w:r>
    </w:p>
    <w:p w14:paraId="3416DC6C" w14:textId="77777777"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 xml:space="preserve">Clinically and historically, the term </w:t>
      </w:r>
      <w:r w:rsidRPr="00CD2F5C">
        <w:rPr>
          <w:rFonts w:ascii="Cambria" w:hAnsi="Cambria" w:cstheme="minorHAnsi"/>
          <w:i/>
          <w:iCs/>
          <w:sz w:val="24"/>
          <w:szCs w:val="24"/>
        </w:rPr>
        <w:t>anxiety</w:t>
      </w:r>
      <w:r w:rsidRPr="00CD2F5C">
        <w:rPr>
          <w:rFonts w:ascii="Cambria" w:hAnsi="Cambria" w:cstheme="minorHAnsi"/>
          <w:iCs/>
          <w:sz w:val="24"/>
          <w:szCs w:val="24"/>
        </w:rPr>
        <w:t xml:space="preserve"> is attributed to multiple words; “anxiety” (French: </w:t>
      </w:r>
      <w:proofErr w:type="spellStart"/>
      <w:r w:rsidRPr="00CD2F5C">
        <w:rPr>
          <w:rFonts w:ascii="Cambria" w:hAnsi="Cambria" w:cstheme="minorHAnsi"/>
          <w:iCs/>
          <w:sz w:val="24"/>
          <w:szCs w:val="24"/>
        </w:rPr>
        <w:t>anxiété</w:t>
      </w:r>
      <w:proofErr w:type="spellEnd"/>
      <w:r w:rsidRPr="00CD2F5C">
        <w:rPr>
          <w:rFonts w:ascii="Cambria" w:hAnsi="Cambria" w:cstheme="minorHAnsi"/>
          <w:iCs/>
          <w:sz w:val="24"/>
          <w:szCs w:val="24"/>
        </w:rPr>
        <w:t>; German: Angst) being defined as the anticipation of future threat, distinguished from “fear” (</w:t>
      </w:r>
      <w:proofErr w:type="spellStart"/>
      <w:r w:rsidRPr="00CD2F5C">
        <w:rPr>
          <w:rFonts w:ascii="Cambria" w:hAnsi="Cambria" w:cstheme="minorHAnsi"/>
          <w:iCs/>
          <w:sz w:val="24"/>
          <w:szCs w:val="24"/>
        </w:rPr>
        <w:t>peur</w:t>
      </w:r>
      <w:proofErr w:type="spellEnd"/>
      <w:r w:rsidRPr="00CD2F5C">
        <w:rPr>
          <w:rFonts w:ascii="Cambria" w:hAnsi="Cambria" w:cstheme="minorHAnsi"/>
          <w:iCs/>
          <w:sz w:val="24"/>
          <w:szCs w:val="24"/>
        </w:rPr>
        <w:t xml:space="preserve">; </w:t>
      </w:r>
      <w:proofErr w:type="spellStart"/>
      <w:r w:rsidRPr="00CD2F5C">
        <w:rPr>
          <w:rFonts w:ascii="Cambria" w:hAnsi="Cambria" w:cstheme="minorHAnsi"/>
          <w:iCs/>
          <w:sz w:val="24"/>
          <w:szCs w:val="24"/>
        </w:rPr>
        <w:t>Furcht</w:t>
      </w:r>
      <w:proofErr w:type="spellEnd"/>
      <w:r w:rsidRPr="00CD2F5C">
        <w:rPr>
          <w:rFonts w:ascii="Cambria" w:hAnsi="Cambria" w:cstheme="minorHAnsi"/>
          <w:iCs/>
          <w:sz w:val="24"/>
          <w:szCs w:val="24"/>
        </w:rPr>
        <w:t xml:space="preserve">) — the emotional response to a real or perceived imminent threat. Further, the term “worry” (souci; Sorge) in DSM-5 adds an additional </w:t>
      </w:r>
      <w:r w:rsidRPr="00CD2F5C">
        <w:rPr>
          <w:rFonts w:ascii="Cambria" w:hAnsi="Cambria" w:cstheme="minorHAnsi"/>
          <w:iCs/>
          <w:sz w:val="24"/>
          <w:szCs w:val="24"/>
        </w:rPr>
        <w:lastRenderedPageBreak/>
        <w:t>nuance by referring to the cognitive aspects of apprehensive expectation (</w:t>
      </w:r>
      <w:proofErr w:type="spellStart"/>
      <w:r w:rsidRPr="00CD2F5C">
        <w:rPr>
          <w:rFonts w:ascii="Cambria" w:hAnsi="Cambria" w:cstheme="minorHAnsi"/>
          <w:iCs/>
          <w:sz w:val="24"/>
          <w:szCs w:val="24"/>
        </w:rPr>
        <w:t>Crocq</w:t>
      </w:r>
      <w:proofErr w:type="spellEnd"/>
      <w:r w:rsidRPr="00CD2F5C">
        <w:rPr>
          <w:rFonts w:ascii="Cambria" w:hAnsi="Cambria" w:cstheme="minorHAnsi"/>
          <w:iCs/>
          <w:sz w:val="24"/>
          <w:szCs w:val="24"/>
        </w:rPr>
        <w:t>, 2015). From an evolutionary perspective, anxiety was considered to be biologically adaptive in that it promotes survival by engaging an individual to avoid danger or harmful stimuli.</w:t>
      </w:r>
    </w:p>
    <w:p w14:paraId="6C12FA04" w14:textId="77777777"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 xml:space="preserve">Despite the common assumption that anxiety is a relatively new disorder, it was mentioned as early as in the </w:t>
      </w:r>
      <w:proofErr w:type="spellStart"/>
      <w:r w:rsidRPr="00CD2F5C">
        <w:rPr>
          <w:rFonts w:ascii="Cambria" w:hAnsi="Cambria" w:cstheme="minorHAnsi"/>
          <w:i/>
          <w:iCs/>
          <w:sz w:val="24"/>
          <w:szCs w:val="24"/>
        </w:rPr>
        <w:t>Tusculan</w:t>
      </w:r>
      <w:proofErr w:type="spellEnd"/>
      <w:r w:rsidRPr="00CD2F5C">
        <w:rPr>
          <w:rFonts w:ascii="Cambria" w:hAnsi="Cambria" w:cstheme="minorHAnsi"/>
          <w:i/>
          <w:iCs/>
          <w:sz w:val="24"/>
          <w:szCs w:val="24"/>
        </w:rPr>
        <w:t xml:space="preserve"> Disputations</w:t>
      </w:r>
      <w:r w:rsidRPr="00CD2F5C">
        <w:rPr>
          <w:rFonts w:ascii="Cambria" w:hAnsi="Cambria" w:cstheme="minorHAnsi"/>
          <w:iCs/>
          <w:sz w:val="24"/>
          <w:szCs w:val="24"/>
        </w:rPr>
        <w:t xml:space="preserve"> by Cicero (106 BC to 43 BC). He wrote that “affliction (</w:t>
      </w:r>
      <w:proofErr w:type="spellStart"/>
      <w:r w:rsidRPr="00CD2F5C">
        <w:rPr>
          <w:rFonts w:ascii="Cambria" w:hAnsi="Cambria" w:cstheme="minorHAnsi"/>
          <w:iCs/>
          <w:sz w:val="24"/>
          <w:szCs w:val="24"/>
        </w:rPr>
        <w:t>molestia</w:t>
      </w:r>
      <w:proofErr w:type="spellEnd"/>
      <w:r w:rsidRPr="00CD2F5C">
        <w:rPr>
          <w:rFonts w:ascii="Cambria" w:hAnsi="Cambria" w:cstheme="minorHAnsi"/>
          <w:iCs/>
          <w:sz w:val="24"/>
          <w:szCs w:val="24"/>
        </w:rPr>
        <w:t>), worry (</w:t>
      </w:r>
      <w:proofErr w:type="spellStart"/>
      <w:r w:rsidRPr="00CD2F5C">
        <w:rPr>
          <w:rFonts w:ascii="Cambria" w:hAnsi="Cambria" w:cstheme="minorHAnsi"/>
          <w:iCs/>
          <w:sz w:val="24"/>
          <w:szCs w:val="24"/>
        </w:rPr>
        <w:t>sollicitudo</w:t>
      </w:r>
      <w:proofErr w:type="spellEnd"/>
      <w:r w:rsidRPr="00CD2F5C">
        <w:rPr>
          <w:rFonts w:ascii="Cambria" w:hAnsi="Cambria" w:cstheme="minorHAnsi"/>
          <w:iCs/>
          <w:sz w:val="24"/>
          <w:szCs w:val="24"/>
        </w:rPr>
        <w:t>), and anxiety (</w:t>
      </w:r>
      <w:proofErr w:type="spellStart"/>
      <w:r w:rsidRPr="00CD2F5C">
        <w:rPr>
          <w:rFonts w:ascii="Cambria" w:hAnsi="Cambria" w:cstheme="minorHAnsi"/>
          <w:iCs/>
          <w:sz w:val="24"/>
          <w:szCs w:val="24"/>
        </w:rPr>
        <w:t>angor</w:t>
      </w:r>
      <w:proofErr w:type="spellEnd"/>
      <w:r w:rsidRPr="00CD2F5C">
        <w:rPr>
          <w:rFonts w:ascii="Cambria" w:hAnsi="Cambria" w:cstheme="minorHAnsi"/>
          <w:iCs/>
          <w:sz w:val="24"/>
          <w:szCs w:val="24"/>
        </w:rPr>
        <w:t>) are called disorders (</w:t>
      </w:r>
      <w:proofErr w:type="spellStart"/>
      <w:r w:rsidRPr="00CD2F5C">
        <w:rPr>
          <w:rFonts w:ascii="Cambria" w:hAnsi="Cambria" w:cstheme="minorHAnsi"/>
          <w:iCs/>
          <w:sz w:val="24"/>
          <w:szCs w:val="24"/>
        </w:rPr>
        <w:t>aegritudo</w:t>
      </w:r>
      <w:proofErr w:type="spellEnd"/>
      <w:r w:rsidRPr="00CD2F5C">
        <w:rPr>
          <w:rFonts w:ascii="Cambria" w:hAnsi="Cambria" w:cstheme="minorHAnsi"/>
          <w:iCs/>
          <w:sz w:val="24"/>
          <w:szCs w:val="24"/>
        </w:rPr>
        <w:t>)”, on account of the connection between a troubled mind and a diseased body. This text also showed that anxious affect is distinguished distinctly from sadness, and that anxiety was defined as a medical illness (</w:t>
      </w:r>
      <w:proofErr w:type="spellStart"/>
      <w:r w:rsidRPr="00CD2F5C">
        <w:rPr>
          <w:rFonts w:ascii="Cambria" w:hAnsi="Cambria" w:cstheme="minorHAnsi"/>
          <w:iCs/>
          <w:sz w:val="24"/>
          <w:szCs w:val="24"/>
        </w:rPr>
        <w:t>aegritudo</w:t>
      </w:r>
      <w:proofErr w:type="spellEnd"/>
      <w:r w:rsidRPr="00CD2F5C">
        <w:rPr>
          <w:rFonts w:ascii="Cambria" w:hAnsi="Cambria" w:cstheme="minorHAnsi"/>
          <w:iCs/>
          <w:sz w:val="24"/>
          <w:szCs w:val="24"/>
        </w:rPr>
        <w:t>)”</w:t>
      </w:r>
      <w:r w:rsidRPr="00CD2F5C">
        <w:rPr>
          <w:rFonts w:ascii="Cambria" w:hAnsi="Cambria" w:cstheme="minorHAnsi"/>
          <w:sz w:val="24"/>
          <w:szCs w:val="24"/>
        </w:rPr>
        <w:t xml:space="preserve"> </w:t>
      </w:r>
      <w:r w:rsidRPr="00CD2F5C">
        <w:rPr>
          <w:rFonts w:ascii="Cambria" w:hAnsi="Cambria" w:cstheme="minorHAnsi"/>
          <w:iCs/>
          <w:sz w:val="24"/>
          <w:szCs w:val="24"/>
        </w:rPr>
        <w:t>(</w:t>
      </w:r>
      <w:proofErr w:type="spellStart"/>
      <w:r w:rsidRPr="00CD2F5C">
        <w:rPr>
          <w:rFonts w:ascii="Cambria" w:hAnsi="Cambria" w:cstheme="minorHAnsi"/>
          <w:iCs/>
          <w:sz w:val="24"/>
          <w:szCs w:val="24"/>
        </w:rPr>
        <w:t>Crocq</w:t>
      </w:r>
      <w:proofErr w:type="spellEnd"/>
      <w:r w:rsidRPr="00CD2F5C">
        <w:rPr>
          <w:rFonts w:ascii="Cambria" w:hAnsi="Cambria" w:cstheme="minorHAnsi"/>
          <w:iCs/>
          <w:sz w:val="24"/>
          <w:szCs w:val="24"/>
        </w:rPr>
        <w:t>, 2015). It is important to consider how the historical perspectives on these states could influence current perceptions, particularly in healthcare settings.</w:t>
      </w:r>
    </w:p>
    <w:p w14:paraId="2F0E630A" w14:textId="05BED115" w:rsidR="009832C0" w:rsidRPr="00CD2F5C" w:rsidRDefault="009832C0" w:rsidP="002B0F75">
      <w:pPr>
        <w:spacing w:line="360" w:lineRule="auto"/>
        <w:rPr>
          <w:rFonts w:ascii="Cambria" w:hAnsi="Cambria" w:cstheme="minorHAnsi"/>
          <w:sz w:val="24"/>
          <w:szCs w:val="24"/>
        </w:rPr>
      </w:pPr>
      <w:bookmarkStart w:id="178" w:name="_Hlk22794714"/>
      <w:r w:rsidRPr="00CD2F5C">
        <w:rPr>
          <w:rFonts w:ascii="Cambria" w:hAnsi="Cambria" w:cstheme="minorHAnsi"/>
          <w:iCs/>
          <w:sz w:val="24"/>
          <w:szCs w:val="24"/>
        </w:rPr>
        <w:t>A difficult feature when considering the societal and public health implications of anxiety and pain is that chronic pain is multifaceted in terms of its socio-psychological effects, and this should be considered when evaluating the issue (Sakamoto et al., 2019)</w:t>
      </w:r>
      <w:r w:rsidRPr="00CD2F5C">
        <w:rPr>
          <w:rFonts w:ascii="Cambria" w:hAnsi="Cambria" w:cstheme="minorHAnsi"/>
          <w:sz w:val="24"/>
          <w:szCs w:val="24"/>
        </w:rPr>
        <w:t xml:space="preserve">. Living with chronic pain requires significant emotional resilience and tends to deplete emotional reserve, and patients often report feelings of stagnancy or having their life on pause as a consequence of their chronic pain. This also corresponds with data from a study showing that it was the pain interference in daily life rather than the pain intensity having the biggest impact on levels of daily functioning for patients (Gentili et al., 2019). In a study to examine the source of physical guarding </w:t>
      </w:r>
      <w:r w:rsidR="0003790A" w:rsidRPr="00CD2F5C">
        <w:rPr>
          <w:rFonts w:ascii="Cambria" w:hAnsi="Cambria" w:cstheme="minorHAnsi"/>
          <w:sz w:val="24"/>
          <w:szCs w:val="24"/>
        </w:rPr>
        <w:t>behaviour</w:t>
      </w:r>
      <w:r w:rsidRPr="00CD2F5C">
        <w:rPr>
          <w:rFonts w:ascii="Cambria" w:hAnsi="Cambria" w:cstheme="minorHAnsi"/>
          <w:sz w:val="24"/>
          <w:szCs w:val="24"/>
        </w:rPr>
        <w:t xml:space="preserve">, it was found that anxiety, not pain, directly predicted guarding </w:t>
      </w:r>
      <w:r w:rsidR="0003790A" w:rsidRPr="00CD2F5C">
        <w:rPr>
          <w:rFonts w:ascii="Cambria" w:hAnsi="Cambria" w:cstheme="minorHAnsi"/>
          <w:sz w:val="24"/>
          <w:szCs w:val="24"/>
        </w:rPr>
        <w:t>behaviour</w:t>
      </w:r>
      <w:r w:rsidRPr="00CD2F5C">
        <w:rPr>
          <w:rFonts w:ascii="Cambria" w:hAnsi="Cambria" w:cstheme="minorHAnsi"/>
          <w:sz w:val="24"/>
          <w:szCs w:val="24"/>
        </w:rPr>
        <w:t xml:space="preserve"> in participants. Pain only predicted guarding indirectly when mediated by anxiety, confirming aspects of the fear and avoidance model (</w:t>
      </w:r>
      <w:proofErr w:type="spellStart"/>
      <w:r w:rsidRPr="00CD2F5C">
        <w:rPr>
          <w:rFonts w:ascii="Cambria" w:hAnsi="Cambria" w:cstheme="minorHAnsi"/>
          <w:sz w:val="24"/>
          <w:szCs w:val="24"/>
        </w:rPr>
        <w:t>Olugbade</w:t>
      </w:r>
      <w:proofErr w:type="spellEnd"/>
      <w:r w:rsidRPr="00CD2F5C">
        <w:rPr>
          <w:rFonts w:ascii="Cambria" w:hAnsi="Cambria" w:cstheme="minorHAnsi"/>
          <w:sz w:val="24"/>
          <w:szCs w:val="24"/>
        </w:rPr>
        <w:t xml:space="preserve"> et al., 2019). This implies that physical, pain-related guarding should potentially be addressed for anxiety versus attempts aimed exclusively at chronic pain reduction. </w:t>
      </w:r>
    </w:p>
    <w:p w14:paraId="55FA4C93"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Another study examined the potential neuroscience behind pain, depression, and anxiety, concluding that anxiety induced chronic pain by activating astrocytes in the anterior cingulate cortex (ACC) region. The mechanism proposed is that anxiety could actively increase the central sensitivity of pain by regulating corticotropin-releasing and </w:t>
      </w:r>
      <w:r w:rsidRPr="00CD2F5C">
        <w:rPr>
          <w:rFonts w:ascii="Cambria" w:hAnsi="Cambria" w:cstheme="minorHAnsi"/>
          <w:sz w:val="24"/>
          <w:szCs w:val="24"/>
        </w:rPr>
        <w:lastRenderedPageBreak/>
        <w:t xml:space="preserve">inflammatory factors such as IL-1, IL-6, IL-10, TNF-α, and noradrenaline, which all could play a role in increasing the feeling or experience of pain (Gu et al., 2019). </w:t>
      </w:r>
    </w:p>
    <w:bookmarkEnd w:id="178"/>
    <w:p w14:paraId="7E588A5A" w14:textId="77777777"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Additionally, emotional factors, trauma, and infection can trigger both serositis and musculoskeletal pain (Capobianco et al., 2017), which are all important factors in inflammatory conditions where autoimmune dysfunction occurs. Pathogen‐associated molecular patterns (PAMPs) released by decayed cells or by invading organisms elicit an inflammatory reaction in the peritoneal cavity, which occurs with conditions such as endometriosis. Furthermore, a sustained inflammation response is also associated with IBS and migraine, so there appears to be a possible link between stress, anxiety, bodily inflammation malfunction, and pain.</w:t>
      </w:r>
    </w:p>
    <w:p w14:paraId="25C08E91" w14:textId="77777777"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Unfortunately, these issues are compounded by disparities in healthcare settings and how different patients may be treated depending on gender identity. In a study examining the experiences of women seeking care for pain, when providers did not give any diagnoses, women typically reported feeling that their bodily self-knowledge was dismissed and their symptoms were attributed to psychosomatic causes (</w:t>
      </w:r>
      <w:proofErr w:type="spellStart"/>
      <w:r w:rsidRPr="00CD2F5C">
        <w:rPr>
          <w:rFonts w:ascii="Cambria" w:hAnsi="Cambria" w:cstheme="minorHAnsi"/>
          <w:iCs/>
          <w:sz w:val="24"/>
          <w:szCs w:val="24"/>
        </w:rPr>
        <w:t>Braksmajer</w:t>
      </w:r>
      <w:proofErr w:type="spellEnd"/>
      <w:r w:rsidRPr="00CD2F5C">
        <w:rPr>
          <w:rFonts w:ascii="Cambria" w:hAnsi="Cambria" w:cstheme="minorHAnsi"/>
          <w:iCs/>
          <w:sz w:val="24"/>
          <w:szCs w:val="24"/>
        </w:rPr>
        <w:t xml:space="preserve"> 2018). In a study that examined trends in cardiovascular health over time by race and sex, there were consistent disparities in cardiovascular health for non‐Hispanic Black and Mexican‐American women as compared with non‐Hispanic White women, showing more than just gender discrimination (Pool et al. 2017). These highlight a gap in acknowledging the pain experiences of those who identify as women.</w:t>
      </w:r>
    </w:p>
    <w:p w14:paraId="672A0B7E" w14:textId="77777777"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Men also experience bias in the healthcare setting for symptom acknowledgement, such as with fibromyalgia (FM) a serious condition that affects approximately four million people in the United States, and remains historically underdiagnosed in men. In a study seeking to understand the multiple impacts of fibromyalgia on men in regard to interactions in society and the U.S. health system, thematic analyses showed that men with FM have negative experiences with their physical and mental health, quality of life, relationships, and careers as a result of FM (Muraleetharan et al. 2018). Thus, the first step to acknowledging this gap in evaluating every patient more comprehensively should initially include a validation of the patient's pain and associated mental health (</w:t>
      </w:r>
      <w:proofErr w:type="spellStart"/>
      <w:r w:rsidRPr="00CD2F5C">
        <w:rPr>
          <w:rFonts w:ascii="Cambria" w:hAnsi="Cambria" w:cstheme="minorHAnsi"/>
          <w:iCs/>
          <w:sz w:val="24"/>
          <w:szCs w:val="24"/>
        </w:rPr>
        <w:t>Braksmajer</w:t>
      </w:r>
      <w:proofErr w:type="spellEnd"/>
      <w:r w:rsidRPr="00CD2F5C">
        <w:rPr>
          <w:rFonts w:ascii="Cambria" w:hAnsi="Cambria" w:cstheme="minorHAnsi"/>
          <w:iCs/>
          <w:sz w:val="24"/>
          <w:szCs w:val="24"/>
        </w:rPr>
        <w:t xml:space="preserve"> 2018).</w:t>
      </w:r>
    </w:p>
    <w:p w14:paraId="5307D12A" w14:textId="77777777" w:rsidR="009832C0" w:rsidRPr="00CD2F5C" w:rsidRDefault="009832C0" w:rsidP="002B0F75">
      <w:pPr>
        <w:spacing w:line="360" w:lineRule="auto"/>
        <w:rPr>
          <w:rFonts w:ascii="Cambria" w:hAnsi="Cambria" w:cstheme="minorHAnsi"/>
          <w:b/>
          <w:bCs/>
          <w:iCs/>
          <w:sz w:val="24"/>
          <w:szCs w:val="24"/>
        </w:rPr>
      </w:pPr>
      <w:r w:rsidRPr="00CD2F5C">
        <w:rPr>
          <w:rFonts w:ascii="Cambria" w:hAnsi="Cambria" w:cstheme="minorHAnsi"/>
          <w:b/>
          <w:bCs/>
          <w:iCs/>
          <w:sz w:val="24"/>
          <w:szCs w:val="24"/>
        </w:rPr>
        <w:lastRenderedPageBreak/>
        <w:t>Rationale</w:t>
      </w:r>
    </w:p>
    <w:p w14:paraId="6DF023C7" w14:textId="4BCF610D" w:rsidR="009832C0" w:rsidRPr="00CD2F5C" w:rsidRDefault="009832C0" w:rsidP="002B0F75">
      <w:pPr>
        <w:spacing w:line="360" w:lineRule="auto"/>
        <w:rPr>
          <w:rFonts w:ascii="Cambria" w:hAnsi="Cambria" w:cstheme="minorHAnsi"/>
          <w:iCs/>
          <w:sz w:val="24"/>
          <w:szCs w:val="24"/>
        </w:rPr>
      </w:pPr>
      <w:r w:rsidRPr="00CD2F5C">
        <w:rPr>
          <w:rFonts w:ascii="Cambria" w:hAnsi="Cambria" w:cstheme="minorHAnsi"/>
          <w:iCs/>
          <w:sz w:val="24"/>
          <w:szCs w:val="24"/>
        </w:rPr>
        <w:t xml:space="preserve">In terms of financial impact, pain is a major factor affecting psychological stress in workers, and the cost of pain-related lost productivity ranged from an estimated $299 to $335 billion in the United States alone (Sakamoto et al., 2019). This makes the annual cost of pain greater than lifestyle diseases (such as heart disease, cancer, diabetes), which are more commonly perceived to have larger economic losses. Chronic pain treatments and </w:t>
      </w:r>
      <w:r w:rsidR="00AE75F3">
        <w:rPr>
          <w:rFonts w:ascii="Cambria" w:hAnsi="Cambria" w:cstheme="minorHAnsi"/>
          <w:iCs/>
          <w:sz w:val="24"/>
          <w:szCs w:val="24"/>
        </w:rPr>
        <w:t>o</w:t>
      </w:r>
      <w:r w:rsidR="00AE75F3" w:rsidRPr="00AE75F3">
        <w:rPr>
          <w:rFonts w:ascii="Cambria" w:hAnsi="Cambria" w:cstheme="minorHAnsi"/>
          <w:iCs/>
          <w:sz w:val="24"/>
          <w:szCs w:val="24"/>
        </w:rPr>
        <w:t>pioid</w:t>
      </w:r>
      <w:r w:rsidRPr="00CD2F5C">
        <w:rPr>
          <w:rFonts w:ascii="Cambria" w:hAnsi="Cambria" w:cstheme="minorHAnsi"/>
          <w:iCs/>
          <w:sz w:val="24"/>
          <w:szCs w:val="24"/>
        </w:rPr>
        <w:t xml:space="preserve"> abuse have been a topic for decades, but until the underlying mechanisms of pain are understood, outcomes and patient experiences are unlikely to change. </w:t>
      </w:r>
    </w:p>
    <w:p w14:paraId="30997C3C" w14:textId="77777777" w:rsidR="009832C0" w:rsidRPr="00CD2F5C" w:rsidRDefault="009832C0" w:rsidP="002B0F75">
      <w:pPr>
        <w:spacing w:line="360" w:lineRule="auto"/>
        <w:rPr>
          <w:rFonts w:ascii="Cambria" w:hAnsi="Cambria" w:cstheme="minorHAnsi"/>
          <w:iCs/>
          <w:sz w:val="24"/>
          <w:szCs w:val="24"/>
        </w:rPr>
      </w:pPr>
      <w:bookmarkStart w:id="179" w:name="_Hlk19443293"/>
      <w:r w:rsidRPr="00CD2F5C">
        <w:rPr>
          <w:rFonts w:ascii="Cambria" w:hAnsi="Cambria" w:cstheme="minorHAnsi"/>
          <w:iCs/>
          <w:sz w:val="24"/>
          <w:szCs w:val="24"/>
        </w:rPr>
        <w:t xml:space="preserve">For this project in particular, </w:t>
      </w:r>
      <w:bookmarkStart w:id="180" w:name="_Hlk104547387"/>
      <w:r w:rsidRPr="00CD2F5C">
        <w:rPr>
          <w:rFonts w:ascii="Cambria" w:hAnsi="Cambria" w:cstheme="minorHAnsi"/>
          <w:iCs/>
          <w:sz w:val="24"/>
          <w:szCs w:val="24"/>
        </w:rPr>
        <w:t xml:space="preserve">it could be informative for health care providers and educators to better understand how deeply imbedded into general health and quality of life the impact of anxiety and chronic pain can be and why they should not be treated independently. </w:t>
      </w:r>
      <w:bookmarkEnd w:id="180"/>
      <w:r w:rsidRPr="00CD2F5C">
        <w:rPr>
          <w:rFonts w:ascii="Cambria" w:hAnsi="Cambria" w:cstheme="minorHAnsi"/>
          <w:iCs/>
          <w:sz w:val="24"/>
          <w:szCs w:val="24"/>
        </w:rPr>
        <w:t xml:space="preserve">Patients who are in chronic pain often struggle with daily life and social activity, which are often attributed to anxiety. The two have a complex relationship, and considerations of health disparities and biases further confound this. Hopefully, data obtained by this study could lead to better patient treatment options and experiences, higher quality of life despite the chronic pain, and lower costs annually. </w:t>
      </w:r>
      <w:bookmarkEnd w:id="179"/>
    </w:p>
    <w:p w14:paraId="0B3FD5DA" w14:textId="77777777" w:rsidR="009832C0" w:rsidRPr="00CD2F5C" w:rsidRDefault="009832C0" w:rsidP="002B0F75">
      <w:pPr>
        <w:pStyle w:val="Paragraph"/>
        <w:ind w:firstLine="0"/>
        <w:rPr>
          <w:rFonts w:ascii="Cambria" w:hAnsi="Cambria" w:cstheme="minorHAnsi"/>
          <w:b/>
          <w:bCs/>
          <w:sz w:val="24"/>
          <w:szCs w:val="24"/>
        </w:rPr>
      </w:pPr>
      <w:bookmarkStart w:id="181" w:name="_Hlk27010402"/>
      <w:r w:rsidRPr="00CD2F5C">
        <w:rPr>
          <w:rFonts w:ascii="Cambria" w:hAnsi="Cambria" w:cstheme="minorHAnsi"/>
          <w:b/>
          <w:bCs/>
          <w:sz w:val="24"/>
          <w:szCs w:val="24"/>
        </w:rPr>
        <w:t>Objectives</w:t>
      </w:r>
    </w:p>
    <w:p w14:paraId="2AFBCDAF" w14:textId="77777777" w:rsidR="009832C0" w:rsidRPr="00CD2F5C" w:rsidRDefault="009832C0" w:rsidP="002B0F75">
      <w:pPr>
        <w:pStyle w:val="Paragraph"/>
        <w:ind w:firstLine="0"/>
        <w:rPr>
          <w:rFonts w:ascii="Cambria" w:hAnsi="Cambria" w:cstheme="minorHAnsi"/>
          <w:sz w:val="24"/>
          <w:szCs w:val="24"/>
        </w:rPr>
      </w:pPr>
      <w:r w:rsidRPr="00CD2F5C">
        <w:rPr>
          <w:rFonts w:ascii="Cambria" w:hAnsi="Cambria" w:cstheme="minorHAnsi"/>
          <w:sz w:val="24"/>
          <w:szCs w:val="24"/>
        </w:rPr>
        <w:t>The objective of this project is to investigate the relationship between chronic pain and anxiety diagnosis. Without the insight into the underlying permanent changes and dysfunction that may occur biologically, treatment options and success of treatment will continue to lack.</w:t>
      </w:r>
      <w:bookmarkEnd w:id="181"/>
      <w:r w:rsidRPr="00CD2F5C">
        <w:rPr>
          <w:rFonts w:ascii="Cambria" w:hAnsi="Cambria" w:cstheme="minorHAnsi"/>
          <w:i/>
          <w:sz w:val="24"/>
          <w:szCs w:val="24"/>
        </w:rPr>
        <w:t xml:space="preserve"> </w:t>
      </w:r>
      <w:r w:rsidRPr="00CD2F5C">
        <w:rPr>
          <w:rFonts w:ascii="Cambria" w:hAnsi="Cambria" w:cstheme="minorHAnsi"/>
          <w:sz w:val="24"/>
          <w:szCs w:val="24"/>
        </w:rPr>
        <w:t>The secondary objective is to look at whether or not these factors influence migraine occurrence. It was hypothesized that a relationship would exist between anxiety and</w:t>
      </w:r>
      <w:bookmarkStart w:id="182" w:name="_Hlk97051172"/>
      <w:r w:rsidRPr="00CD2F5C">
        <w:rPr>
          <w:rFonts w:ascii="Cambria" w:hAnsi="Cambria" w:cstheme="minorHAnsi"/>
          <w:sz w:val="24"/>
          <w:szCs w:val="24"/>
        </w:rPr>
        <w:t xml:space="preserve"> migraine.</w:t>
      </w:r>
      <w:bookmarkEnd w:id="182"/>
      <w:r w:rsidRPr="00CD2F5C">
        <w:rPr>
          <w:rFonts w:ascii="Cambria" w:hAnsi="Cambria" w:cstheme="minorHAnsi"/>
          <w:sz w:val="24"/>
          <w:szCs w:val="24"/>
        </w:rPr>
        <w:t xml:space="preserve"> Gender differences were also examined. </w:t>
      </w:r>
      <w:bookmarkStart w:id="183" w:name="_Hlk97050559"/>
    </w:p>
    <w:p w14:paraId="190E82FA" w14:textId="77777777" w:rsidR="009832C0" w:rsidRPr="00CD2F5C" w:rsidRDefault="009832C0" w:rsidP="002B0F75">
      <w:pPr>
        <w:pStyle w:val="Newparagraph"/>
        <w:rPr>
          <w:rFonts w:ascii="Cambria" w:hAnsi="Cambria" w:cstheme="minorHAnsi"/>
          <w:sz w:val="24"/>
          <w:szCs w:val="24"/>
        </w:rPr>
      </w:pPr>
    </w:p>
    <w:p w14:paraId="5CC36079"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Methods</w:t>
      </w:r>
    </w:p>
    <w:p w14:paraId="4E58EFE0"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This study was completed in an online, electronic setting as a retrospective analysis utilizing existing literature and data. Article screening criteria focused on adversity, trauma outcomes, comorbidities, chronic illness, and neuroanatomical changes due to trauma, </w:t>
      </w:r>
      <w:r w:rsidRPr="00CD2F5C">
        <w:rPr>
          <w:rFonts w:ascii="Cambria" w:hAnsi="Cambria" w:cstheme="minorHAnsi"/>
          <w:sz w:val="24"/>
          <w:szCs w:val="24"/>
        </w:rPr>
        <w:lastRenderedPageBreak/>
        <w:t>anxiety, and stress. The primary database used for this analysis was the PROMIS Profiles-HUI. The published literature was collected via PubMed, the CDC, and the PROMIS database. Primary studies, in English, which investigated patients with a history of anxiety as well as papers exploring the outcomes of trauma, stress, and chronic pain, were included. Publication bias was evaluated, and sensitivity analyses were conducted to ensure data quality.</w:t>
      </w:r>
    </w:p>
    <w:p w14:paraId="44F7501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This study aimed to confirm a relationship between anxiety and chronic pain. Prior research results confirm similar correlations, such as between trauma and emotional issues, or stress and hippocampal volume changes in the brain. In addition, a further relationship between anxiety and migraine was examined. The target project population specifics included:</w:t>
      </w:r>
    </w:p>
    <w:p w14:paraId="5EC996BE" w14:textId="77777777" w:rsidR="009832C0" w:rsidRPr="00CD2F5C" w:rsidRDefault="009832C0" w:rsidP="002B0F75">
      <w:pPr>
        <w:pStyle w:val="Bulletedlist"/>
        <w:rPr>
          <w:rFonts w:ascii="Cambria" w:hAnsi="Cambria" w:cstheme="minorHAnsi"/>
          <w:sz w:val="24"/>
          <w:szCs w:val="24"/>
        </w:rPr>
      </w:pPr>
      <w:r w:rsidRPr="00CD2F5C">
        <w:rPr>
          <w:rFonts w:ascii="Cambria" w:hAnsi="Cambria" w:cstheme="minorHAnsi"/>
          <w:sz w:val="24"/>
          <w:szCs w:val="24"/>
        </w:rPr>
        <w:t>Adults who experience chronic pain (with or without anxiety)</w:t>
      </w:r>
    </w:p>
    <w:p w14:paraId="76A8DCEC" w14:textId="77777777" w:rsidR="009832C0" w:rsidRPr="00CD2F5C" w:rsidRDefault="009832C0" w:rsidP="002B0F75">
      <w:pPr>
        <w:pStyle w:val="Bulletedlist"/>
        <w:rPr>
          <w:rFonts w:ascii="Cambria" w:hAnsi="Cambria" w:cstheme="minorHAnsi"/>
          <w:sz w:val="24"/>
          <w:szCs w:val="24"/>
        </w:rPr>
      </w:pPr>
      <w:r w:rsidRPr="00CD2F5C">
        <w:rPr>
          <w:rFonts w:ascii="Cambria" w:hAnsi="Cambria" w:cstheme="minorHAnsi"/>
          <w:sz w:val="24"/>
          <w:szCs w:val="24"/>
        </w:rPr>
        <w:t>Subjects for inclusion were adults 18 years of age and older</w:t>
      </w:r>
    </w:p>
    <w:p w14:paraId="47304B23" w14:textId="77777777" w:rsidR="009832C0" w:rsidRPr="00CD2F5C" w:rsidRDefault="009832C0" w:rsidP="002B0F75">
      <w:pPr>
        <w:pStyle w:val="Bulletedlist"/>
        <w:rPr>
          <w:rFonts w:ascii="Cambria" w:hAnsi="Cambria" w:cstheme="minorHAnsi"/>
          <w:sz w:val="24"/>
          <w:szCs w:val="24"/>
        </w:rPr>
      </w:pPr>
      <w:r w:rsidRPr="00CD2F5C">
        <w:rPr>
          <w:rFonts w:ascii="Cambria" w:hAnsi="Cambria" w:cstheme="minorHAnsi"/>
          <w:sz w:val="24"/>
          <w:szCs w:val="24"/>
        </w:rPr>
        <w:t>Exclusion Criteria were subjects less than 18 years of age</w:t>
      </w:r>
      <w:bookmarkStart w:id="184" w:name="_Hlk97051456"/>
      <w:bookmarkStart w:id="185" w:name="_Hlk97051361"/>
      <w:bookmarkStart w:id="186" w:name="_Hlk97050666"/>
    </w:p>
    <w:p w14:paraId="22BF4BDE" w14:textId="77777777" w:rsidR="009832C0" w:rsidRPr="00CD2F5C" w:rsidRDefault="009832C0" w:rsidP="002B0F75">
      <w:pPr>
        <w:pStyle w:val="Paragraph"/>
        <w:ind w:firstLine="0"/>
        <w:rPr>
          <w:rFonts w:ascii="Cambria" w:hAnsi="Cambria" w:cstheme="minorHAnsi"/>
          <w:b/>
          <w:bCs/>
          <w:sz w:val="24"/>
          <w:szCs w:val="24"/>
        </w:rPr>
      </w:pPr>
      <w:r w:rsidRPr="00CD2F5C">
        <w:rPr>
          <w:rFonts w:ascii="Cambria" w:hAnsi="Cambria" w:cstheme="minorHAnsi"/>
          <w:b/>
          <w:bCs/>
          <w:sz w:val="24"/>
          <w:szCs w:val="24"/>
        </w:rPr>
        <w:t>Data collection</w:t>
      </w:r>
    </w:p>
    <w:p w14:paraId="1FCE486F" w14:textId="77777777" w:rsidR="009832C0" w:rsidRPr="00CD2F5C" w:rsidRDefault="009832C0" w:rsidP="002B0F75">
      <w:pPr>
        <w:pStyle w:val="Paragraph"/>
        <w:ind w:firstLine="0"/>
        <w:rPr>
          <w:rFonts w:ascii="Cambria" w:hAnsi="Cambria" w:cstheme="minorHAnsi"/>
          <w:sz w:val="24"/>
          <w:szCs w:val="24"/>
        </w:rPr>
      </w:pPr>
      <w:r w:rsidRPr="00CD2F5C">
        <w:rPr>
          <w:rFonts w:ascii="Cambria" w:hAnsi="Cambria" w:cstheme="minorHAnsi"/>
          <w:sz w:val="24"/>
          <w:szCs w:val="24"/>
        </w:rPr>
        <w:t xml:space="preserve">The dataset </w:t>
      </w:r>
      <w:bookmarkEnd w:id="184"/>
      <w:bookmarkEnd w:id="185"/>
      <w:r w:rsidRPr="00CD2F5C">
        <w:rPr>
          <w:rFonts w:ascii="Cambria" w:hAnsi="Cambria" w:cstheme="minorHAnsi"/>
          <w:sz w:val="24"/>
          <w:szCs w:val="24"/>
        </w:rPr>
        <w:t>used for this retrospective study was the “</w:t>
      </w:r>
      <w:bookmarkStart w:id="187" w:name="_Hlk109238526"/>
      <w:proofErr w:type="spellStart"/>
      <w:r w:rsidRPr="00CD2F5C">
        <w:rPr>
          <w:rFonts w:ascii="Cambria" w:hAnsi="Cambria" w:cstheme="minorHAnsi"/>
          <w:sz w:val="24"/>
          <w:szCs w:val="24"/>
        </w:rPr>
        <w:t>ReCenter</w:t>
      </w:r>
      <w:proofErr w:type="spellEnd"/>
      <w:r w:rsidRPr="00CD2F5C">
        <w:rPr>
          <w:rFonts w:ascii="Cambria" w:hAnsi="Cambria" w:cstheme="minorHAnsi"/>
          <w:sz w:val="24"/>
          <w:szCs w:val="24"/>
        </w:rPr>
        <w:t xml:space="preserve"> Patient-Reported Outcomes Measurement Information System (PROMIS®)”, a data source compiled using the Health Utilities Index, PROMIS Global items, and the PROMIS profiles, which assessed fatigue, physical function, depression, anxiety, ability to participate in social roles and activities, sleep disturbance, pain interference, and pain intensity</w:t>
      </w:r>
      <w:bookmarkEnd w:id="187"/>
      <w:r w:rsidRPr="00CD2F5C">
        <w:rPr>
          <w:rFonts w:ascii="Cambria" w:hAnsi="Cambria" w:cstheme="minorHAnsi"/>
          <w:sz w:val="24"/>
          <w:szCs w:val="24"/>
        </w:rPr>
        <w:t xml:space="preserve">. Additional PROMIS items from each bank were also included (Hays et al., 2016). PROMIS data was collected between 2015-2016, with a recruitment sample of 3000 randomly selected adults (18 or older) who completed an online survey on a diverse range of health measures. </w:t>
      </w:r>
    </w:p>
    <w:p w14:paraId="47BD9A6C" w14:textId="77777777" w:rsidR="009832C0" w:rsidRPr="00CD2F5C" w:rsidRDefault="009832C0" w:rsidP="002B0F75">
      <w:pPr>
        <w:pStyle w:val="Paragraph"/>
        <w:ind w:firstLine="0"/>
        <w:rPr>
          <w:rFonts w:ascii="Cambria" w:hAnsi="Cambria" w:cstheme="minorHAnsi"/>
          <w:sz w:val="24"/>
          <w:szCs w:val="24"/>
        </w:rPr>
      </w:pPr>
      <w:r w:rsidRPr="00CD2F5C">
        <w:rPr>
          <w:rFonts w:ascii="Cambria" w:hAnsi="Cambria" w:cstheme="minorHAnsi"/>
          <w:sz w:val="24"/>
          <w:szCs w:val="24"/>
        </w:rPr>
        <w:t xml:space="preserve">Information on participants who selected yes or no for anxiety diagnosis were included, as well as variables for chronic pain measurement (pain interference, pain interfered with social life, are any of your activities inhibited by migraine, rate of pain on average, pain level now to pain level at worst). Demographics on reported gender were also considered. Information on other conditions will not be included, since the focus is on anxiety and pain </w:t>
      </w:r>
      <w:r w:rsidRPr="00CD2F5C">
        <w:rPr>
          <w:rFonts w:ascii="Cambria" w:hAnsi="Cambria" w:cstheme="minorHAnsi"/>
          <w:sz w:val="24"/>
          <w:szCs w:val="24"/>
        </w:rPr>
        <w:lastRenderedPageBreak/>
        <w:t xml:space="preserve">and this study is limited in its scope and time. </w:t>
      </w:r>
    </w:p>
    <w:p w14:paraId="4FDA01BE" w14:textId="77777777" w:rsidR="009832C0" w:rsidRPr="00CD2F5C" w:rsidRDefault="009832C0" w:rsidP="002B0F75">
      <w:pPr>
        <w:pStyle w:val="Newparagraph"/>
        <w:ind w:firstLine="0"/>
        <w:rPr>
          <w:rFonts w:ascii="Cambria" w:hAnsi="Cambria" w:cstheme="minorHAnsi"/>
          <w:iCs/>
          <w:sz w:val="24"/>
          <w:szCs w:val="24"/>
        </w:rPr>
      </w:pPr>
      <w:bookmarkStart w:id="188" w:name="_Hlk21250861"/>
      <w:r w:rsidRPr="00CD2F5C">
        <w:rPr>
          <w:rFonts w:ascii="Cambria" w:hAnsi="Cambria" w:cstheme="minorHAnsi"/>
          <w:iCs/>
          <w:sz w:val="24"/>
          <w:szCs w:val="24"/>
        </w:rPr>
        <w:t xml:space="preserve">The time range of this study was roughly 4 months (August 2019 to December 2019). Data extraction was completed by the first week of October, and the data was synthesized at the end of October. Results and conclusions were summarized by November, and the final report was done by mid-December of 2019. </w:t>
      </w:r>
      <w:bookmarkEnd w:id="188"/>
    </w:p>
    <w:p w14:paraId="7981AE10" w14:textId="77777777" w:rsidR="009832C0" w:rsidRPr="00CD2F5C" w:rsidRDefault="009832C0" w:rsidP="002B0F75">
      <w:pPr>
        <w:pStyle w:val="Newparagraph"/>
        <w:ind w:firstLine="0"/>
        <w:rPr>
          <w:rFonts w:ascii="Cambria" w:hAnsi="Cambria" w:cstheme="minorHAnsi"/>
          <w:b/>
          <w:bCs/>
          <w:iCs/>
          <w:sz w:val="24"/>
          <w:szCs w:val="24"/>
        </w:rPr>
      </w:pPr>
      <w:r w:rsidRPr="00CD2F5C">
        <w:rPr>
          <w:rFonts w:ascii="Cambria" w:hAnsi="Cambria" w:cstheme="minorHAnsi"/>
          <w:b/>
          <w:bCs/>
          <w:iCs/>
          <w:sz w:val="24"/>
          <w:szCs w:val="24"/>
        </w:rPr>
        <w:t>Analysis methods</w:t>
      </w:r>
    </w:p>
    <w:p w14:paraId="7EFF860F" w14:textId="77777777" w:rsidR="009832C0" w:rsidRPr="00CD2F5C" w:rsidRDefault="009832C0" w:rsidP="002B0F75">
      <w:pPr>
        <w:pStyle w:val="Newparagraph"/>
        <w:ind w:firstLine="0"/>
        <w:rPr>
          <w:rFonts w:ascii="Cambria" w:hAnsi="Cambria" w:cstheme="minorHAnsi"/>
          <w:i/>
          <w:sz w:val="24"/>
          <w:szCs w:val="24"/>
        </w:rPr>
      </w:pPr>
      <w:r w:rsidRPr="00CD2F5C">
        <w:rPr>
          <w:rFonts w:ascii="Cambria" w:hAnsi="Cambria" w:cstheme="minorHAnsi"/>
          <w:i/>
          <w:sz w:val="24"/>
          <w:szCs w:val="24"/>
        </w:rPr>
        <w:t>Variables</w:t>
      </w:r>
    </w:p>
    <w:p w14:paraId="2BC6DD2B" w14:textId="77777777" w:rsidR="009832C0" w:rsidRPr="00CD2F5C" w:rsidRDefault="009832C0" w:rsidP="002B0F75">
      <w:pPr>
        <w:pStyle w:val="Newparagraph"/>
        <w:ind w:firstLine="0"/>
        <w:rPr>
          <w:rFonts w:ascii="Cambria" w:hAnsi="Cambria" w:cstheme="minorHAnsi"/>
          <w:sz w:val="24"/>
          <w:szCs w:val="24"/>
        </w:rPr>
      </w:pPr>
      <w:r w:rsidRPr="00CD2F5C">
        <w:rPr>
          <w:rFonts w:ascii="Cambria" w:hAnsi="Cambria" w:cstheme="minorHAnsi"/>
          <w:sz w:val="24"/>
          <w:szCs w:val="24"/>
        </w:rPr>
        <w:t>Primary:</w:t>
      </w:r>
    </w:p>
    <w:p w14:paraId="071F8DDF" w14:textId="77777777" w:rsidR="009832C0" w:rsidRPr="00CD2F5C" w:rsidRDefault="009832C0" w:rsidP="002B0F75">
      <w:pPr>
        <w:pStyle w:val="Newparagraph"/>
        <w:numPr>
          <w:ilvl w:val="0"/>
          <w:numId w:val="46"/>
        </w:numPr>
        <w:rPr>
          <w:rFonts w:ascii="Cambria" w:hAnsi="Cambria" w:cstheme="minorHAnsi"/>
          <w:sz w:val="24"/>
          <w:szCs w:val="24"/>
        </w:rPr>
      </w:pPr>
      <w:r w:rsidRPr="00CD2F5C">
        <w:rPr>
          <w:rFonts w:ascii="Cambria" w:hAnsi="Cambria" w:cstheme="minorHAnsi"/>
          <w:sz w:val="24"/>
          <w:szCs w:val="24"/>
        </w:rPr>
        <w:t>Dependent variable: Diagnosed with anxiety, not diagnosed with anxiety (</w:t>
      </w:r>
      <w:bookmarkStart w:id="189" w:name="_Hlk104987832"/>
      <w:r w:rsidRPr="00CD2F5C">
        <w:rPr>
          <w:rFonts w:ascii="Cambria" w:hAnsi="Cambria" w:cstheme="minorHAnsi"/>
          <w:sz w:val="24"/>
          <w:szCs w:val="24"/>
        </w:rPr>
        <w:t>Qclinic01a, 16</w:t>
      </w:r>
      <w:bookmarkEnd w:id="189"/>
      <w:r w:rsidRPr="00CD2F5C">
        <w:rPr>
          <w:rFonts w:ascii="Cambria" w:hAnsi="Cambria" w:cstheme="minorHAnsi"/>
          <w:sz w:val="24"/>
          <w:szCs w:val="24"/>
        </w:rPr>
        <w:t>)</w:t>
      </w:r>
    </w:p>
    <w:p w14:paraId="60924FEB" w14:textId="77777777" w:rsidR="009832C0" w:rsidRPr="00CD2F5C" w:rsidRDefault="009832C0" w:rsidP="002B0F75">
      <w:pPr>
        <w:pStyle w:val="Newparagraph"/>
        <w:numPr>
          <w:ilvl w:val="0"/>
          <w:numId w:val="46"/>
        </w:numPr>
        <w:rPr>
          <w:rFonts w:ascii="Cambria" w:hAnsi="Cambria" w:cstheme="minorHAnsi"/>
          <w:sz w:val="24"/>
          <w:szCs w:val="24"/>
        </w:rPr>
      </w:pPr>
      <w:r w:rsidRPr="00CD2F5C">
        <w:rPr>
          <w:rFonts w:ascii="Cambria" w:hAnsi="Cambria" w:cstheme="minorHAnsi"/>
          <w:sz w:val="24"/>
          <w:szCs w:val="24"/>
        </w:rPr>
        <w:t xml:space="preserve">Independent variables include the following 5 pain measures: </w:t>
      </w:r>
    </w:p>
    <w:p w14:paraId="6810D524" w14:textId="77777777" w:rsidR="009832C0" w:rsidRPr="00CD2F5C" w:rsidRDefault="009832C0" w:rsidP="002B0F75">
      <w:pPr>
        <w:pStyle w:val="Newparagraph"/>
        <w:numPr>
          <w:ilvl w:val="1"/>
          <w:numId w:val="46"/>
        </w:numPr>
        <w:rPr>
          <w:rFonts w:ascii="Cambria" w:hAnsi="Cambria" w:cstheme="minorHAnsi"/>
          <w:sz w:val="24"/>
          <w:szCs w:val="24"/>
        </w:rPr>
      </w:pPr>
      <w:r w:rsidRPr="00CD2F5C">
        <w:rPr>
          <w:rFonts w:ascii="Cambria" w:hAnsi="Cambria" w:cstheme="minorHAnsi"/>
          <w:sz w:val="24"/>
          <w:szCs w:val="24"/>
        </w:rPr>
        <w:t xml:space="preserve">How intense is your average pain? (QPAINQU8, scale is 1-5, no pain to severe) </w:t>
      </w:r>
    </w:p>
    <w:p w14:paraId="68CDC00F" w14:textId="77777777" w:rsidR="009832C0" w:rsidRPr="00CD2F5C" w:rsidRDefault="009832C0" w:rsidP="002B0F75">
      <w:pPr>
        <w:pStyle w:val="Newparagraph"/>
        <w:numPr>
          <w:ilvl w:val="1"/>
          <w:numId w:val="46"/>
        </w:numPr>
        <w:rPr>
          <w:rFonts w:ascii="Cambria" w:hAnsi="Cambria" w:cstheme="minorHAnsi"/>
          <w:sz w:val="24"/>
          <w:szCs w:val="24"/>
        </w:rPr>
      </w:pPr>
      <w:r w:rsidRPr="00CD2F5C">
        <w:rPr>
          <w:rFonts w:ascii="Cambria" w:hAnsi="Cambria" w:cstheme="minorHAnsi"/>
          <w:sz w:val="24"/>
          <w:szCs w:val="24"/>
        </w:rPr>
        <w:t>In the last 7 days, how much did pain interfere with your enjoyment of life? (QPAININ3, scale is 1-5, not at all to very much)</w:t>
      </w:r>
    </w:p>
    <w:p w14:paraId="384DF490" w14:textId="77777777" w:rsidR="009832C0" w:rsidRPr="00CD2F5C" w:rsidRDefault="009832C0" w:rsidP="002B0F75">
      <w:pPr>
        <w:pStyle w:val="Newparagraph"/>
        <w:numPr>
          <w:ilvl w:val="1"/>
          <w:numId w:val="46"/>
        </w:numPr>
        <w:rPr>
          <w:rFonts w:ascii="Cambria" w:hAnsi="Cambria" w:cstheme="minorHAnsi"/>
          <w:sz w:val="24"/>
          <w:szCs w:val="24"/>
        </w:rPr>
      </w:pPr>
      <w:r w:rsidRPr="00CD2F5C">
        <w:rPr>
          <w:rFonts w:ascii="Cambria" w:hAnsi="Cambria" w:cstheme="minorHAnsi"/>
          <w:sz w:val="24"/>
          <w:szCs w:val="24"/>
        </w:rPr>
        <w:t>In the past 7 days, how often did you feel emotionally tense because of your pain? (QPAININ11r1, scale 1-5, never to always)</w:t>
      </w:r>
    </w:p>
    <w:p w14:paraId="21AC0E7B" w14:textId="77777777" w:rsidR="009832C0" w:rsidRPr="00CD2F5C" w:rsidRDefault="009832C0" w:rsidP="002B0F75">
      <w:pPr>
        <w:pStyle w:val="Newparagraph"/>
        <w:numPr>
          <w:ilvl w:val="1"/>
          <w:numId w:val="46"/>
        </w:numPr>
        <w:rPr>
          <w:rFonts w:ascii="Cambria" w:hAnsi="Cambria" w:cstheme="minorHAnsi"/>
          <w:sz w:val="24"/>
          <w:szCs w:val="24"/>
        </w:rPr>
      </w:pPr>
      <w:r w:rsidRPr="00CD2F5C">
        <w:rPr>
          <w:rFonts w:ascii="Cambria" w:hAnsi="Cambria" w:cstheme="minorHAnsi"/>
          <w:sz w:val="24"/>
          <w:szCs w:val="24"/>
        </w:rPr>
        <w:t>In the past 7 days, how much did pain interfere with your ability to participate in social activities? (QPAININ31, 1-5, not at all to very much)</w:t>
      </w:r>
    </w:p>
    <w:p w14:paraId="60B45A2D" w14:textId="77777777" w:rsidR="009832C0" w:rsidRPr="00CD2F5C" w:rsidRDefault="009832C0" w:rsidP="002B0F75">
      <w:pPr>
        <w:pStyle w:val="Newparagraph"/>
        <w:numPr>
          <w:ilvl w:val="1"/>
          <w:numId w:val="46"/>
        </w:numPr>
        <w:rPr>
          <w:rFonts w:ascii="Cambria" w:hAnsi="Cambria" w:cstheme="minorHAnsi"/>
          <w:sz w:val="24"/>
          <w:szCs w:val="24"/>
        </w:rPr>
      </w:pPr>
      <w:r w:rsidRPr="00CD2F5C">
        <w:rPr>
          <w:rFonts w:ascii="Cambria" w:hAnsi="Cambria" w:cstheme="minorHAnsi"/>
          <w:sz w:val="24"/>
          <w:szCs w:val="24"/>
        </w:rPr>
        <w:t>In the past week, how would you rate your overall health? (QHUI16, 1-5, poor to excellent)</w:t>
      </w:r>
    </w:p>
    <w:p w14:paraId="01F453DB" w14:textId="77777777" w:rsidR="009832C0" w:rsidRPr="00CD2F5C" w:rsidRDefault="009832C0" w:rsidP="002B0F75">
      <w:pPr>
        <w:pStyle w:val="Newparagraph"/>
        <w:ind w:firstLine="0"/>
        <w:rPr>
          <w:rFonts w:ascii="Cambria" w:hAnsi="Cambria" w:cstheme="minorHAnsi"/>
          <w:sz w:val="24"/>
          <w:szCs w:val="24"/>
        </w:rPr>
      </w:pPr>
      <w:r w:rsidRPr="00CD2F5C">
        <w:rPr>
          <w:rFonts w:ascii="Cambria" w:hAnsi="Cambria" w:cstheme="minorHAnsi"/>
          <w:sz w:val="24"/>
          <w:szCs w:val="24"/>
        </w:rPr>
        <w:t>Secondary:</w:t>
      </w:r>
    </w:p>
    <w:p w14:paraId="1541B46E" w14:textId="77777777" w:rsidR="009832C0" w:rsidRPr="00CD2F5C" w:rsidRDefault="009832C0" w:rsidP="002B0F75">
      <w:pPr>
        <w:pStyle w:val="Newparagraph"/>
        <w:numPr>
          <w:ilvl w:val="0"/>
          <w:numId w:val="46"/>
        </w:numPr>
        <w:rPr>
          <w:rFonts w:ascii="Cambria" w:hAnsi="Cambria" w:cstheme="minorHAnsi"/>
          <w:sz w:val="24"/>
          <w:szCs w:val="24"/>
        </w:rPr>
      </w:pPr>
      <w:r w:rsidRPr="00CD2F5C">
        <w:rPr>
          <w:rFonts w:ascii="Cambria" w:hAnsi="Cambria" w:cstheme="minorHAnsi"/>
          <w:sz w:val="24"/>
          <w:szCs w:val="24"/>
        </w:rPr>
        <w:t>For those with/without anxiety, how many experienced migraines (Qclinic01a_16), and does it compare to primary results when including additional factors?</w:t>
      </w:r>
    </w:p>
    <w:p w14:paraId="14B39876" w14:textId="77777777" w:rsidR="009832C0" w:rsidRPr="00CD2F5C" w:rsidRDefault="009832C0" w:rsidP="002B0F75">
      <w:pPr>
        <w:pStyle w:val="Newparagraph"/>
        <w:ind w:left="720" w:firstLine="0"/>
        <w:rPr>
          <w:rFonts w:ascii="Cambria" w:hAnsi="Cambria" w:cstheme="minorHAnsi"/>
          <w:sz w:val="24"/>
          <w:szCs w:val="24"/>
        </w:rPr>
      </w:pPr>
      <w:r w:rsidRPr="00CD2F5C">
        <w:rPr>
          <w:rFonts w:ascii="Cambria" w:hAnsi="Cambria" w:cstheme="minorHAnsi"/>
          <w:sz w:val="24"/>
          <w:szCs w:val="24"/>
        </w:rPr>
        <w:t>An additional compare of reported gender (Qsocio03) and age (Qsocio02) was included for both.</w:t>
      </w:r>
    </w:p>
    <w:p w14:paraId="48ECAFB3" w14:textId="77777777" w:rsidR="009832C0" w:rsidRPr="00CD2F5C" w:rsidRDefault="009832C0" w:rsidP="002B0F75">
      <w:pPr>
        <w:spacing w:line="360" w:lineRule="auto"/>
        <w:rPr>
          <w:rFonts w:ascii="Cambria" w:hAnsi="Cambria" w:cstheme="minorHAnsi"/>
          <w:bCs/>
          <w:i/>
          <w:sz w:val="24"/>
          <w:szCs w:val="24"/>
        </w:rPr>
      </w:pPr>
      <w:bookmarkStart w:id="190" w:name="_Hlk27010789"/>
      <w:bookmarkEnd w:id="183"/>
      <w:bookmarkEnd w:id="186"/>
      <w:r w:rsidRPr="00CD2F5C">
        <w:rPr>
          <w:rFonts w:ascii="Cambria" w:hAnsi="Cambria" w:cstheme="minorHAnsi"/>
          <w:bCs/>
          <w:i/>
          <w:sz w:val="24"/>
          <w:szCs w:val="24"/>
        </w:rPr>
        <w:lastRenderedPageBreak/>
        <w:t>Sample size</w:t>
      </w:r>
    </w:p>
    <w:p w14:paraId="3B1D2EC9" w14:textId="77777777" w:rsidR="009832C0" w:rsidRPr="00CD2F5C" w:rsidRDefault="009832C0" w:rsidP="002B0F75">
      <w:pPr>
        <w:spacing w:line="360" w:lineRule="auto"/>
        <w:rPr>
          <w:rFonts w:ascii="Cambria" w:hAnsi="Cambria" w:cstheme="minorHAnsi"/>
          <w:bCs/>
          <w:i/>
          <w:iCs/>
          <w:sz w:val="24"/>
          <w:szCs w:val="24"/>
        </w:rPr>
      </w:pPr>
      <w:r w:rsidRPr="00CD2F5C">
        <w:rPr>
          <w:rFonts w:ascii="Cambria" w:hAnsi="Cambria" w:cstheme="minorHAnsi"/>
          <w:bCs/>
          <w:iCs/>
          <w:sz w:val="24"/>
          <w:szCs w:val="24"/>
        </w:rPr>
        <w:t xml:space="preserve">3000 randomly selected adults, age 18 or over. Target amounts for diversity in the sample were met, both for race and age. 1458 male, 1542 female. </w:t>
      </w:r>
    </w:p>
    <w:bookmarkEnd w:id="190"/>
    <w:p w14:paraId="699896CE" w14:textId="77777777" w:rsidR="009832C0" w:rsidRPr="00CD2F5C" w:rsidRDefault="009832C0" w:rsidP="002B0F75">
      <w:pPr>
        <w:spacing w:line="360" w:lineRule="auto"/>
        <w:rPr>
          <w:rFonts w:ascii="Cambria" w:hAnsi="Cambria" w:cstheme="minorHAnsi"/>
          <w:i/>
          <w:iCs/>
          <w:sz w:val="24"/>
          <w:szCs w:val="24"/>
        </w:rPr>
      </w:pPr>
      <w:r w:rsidRPr="00CD2F5C">
        <w:rPr>
          <w:rFonts w:ascii="Cambria" w:hAnsi="Cambria" w:cstheme="minorHAnsi"/>
          <w:i/>
          <w:iCs/>
          <w:sz w:val="24"/>
          <w:szCs w:val="24"/>
        </w:rPr>
        <w:t>Data analysis</w:t>
      </w:r>
    </w:p>
    <w:p w14:paraId="1DDE491C"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A logistic regression model was performed for the primary objective due to its binary dependent variable and multiple (5) independent variables. Some of the independent variables are 1 to 5 in terms of least to worst, and others were coded as least to great.  Additional covariates were examined to confirm these associations and show potential differences. SAS statistical software was used. The independent variable was anxiety/no anxiety, and the dependent variables were five different pain measures.</w:t>
      </w:r>
    </w:p>
    <w:p w14:paraId="73A77CB4" w14:textId="77777777" w:rsidR="009832C0" w:rsidRPr="00CD2F5C" w:rsidRDefault="009832C0" w:rsidP="002B0F75">
      <w:pPr>
        <w:spacing w:line="360" w:lineRule="auto"/>
        <w:rPr>
          <w:rFonts w:ascii="Cambria" w:hAnsi="Cambria" w:cstheme="minorHAnsi"/>
          <w:i/>
          <w:iCs/>
          <w:sz w:val="24"/>
          <w:szCs w:val="24"/>
        </w:rPr>
      </w:pPr>
      <w:r w:rsidRPr="00CD2F5C">
        <w:rPr>
          <w:rFonts w:ascii="Cambria" w:hAnsi="Cambria" w:cstheme="minorHAnsi"/>
          <w:i/>
          <w:iCs/>
          <w:sz w:val="24"/>
          <w:szCs w:val="24"/>
        </w:rPr>
        <w:t>Data protection</w:t>
      </w:r>
    </w:p>
    <w:p w14:paraId="7B67F4CE"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Databases from the CDC are protected by Public Law 107-174 (No FEAR Act). All data relevant to this project is stored on a password protected laptop that is locked up when not in use, and is only accessible to myself (as the acting study staff). No personal identifiers are present in the data used. </w:t>
      </w:r>
    </w:p>
    <w:p w14:paraId="5E2786EF"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Results</w:t>
      </w:r>
    </w:p>
    <w:p w14:paraId="2D7061A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A total of 3000 randomly selected adults (18 or older) were recruited and completed the PROMIS survey. Of these, a reported </w:t>
      </w:r>
      <w:r w:rsidRPr="00CD2F5C">
        <w:rPr>
          <w:rFonts w:ascii="Cambria" w:hAnsi="Cambria" w:cstheme="minorHAnsi"/>
          <w:bCs/>
          <w:iCs/>
          <w:sz w:val="24"/>
          <w:szCs w:val="24"/>
        </w:rPr>
        <w:t>1458 identified as male, 1542 female</w:t>
      </w:r>
      <w:r w:rsidRPr="00CD2F5C">
        <w:rPr>
          <w:rFonts w:ascii="Cambria" w:hAnsi="Cambria" w:cstheme="minorHAnsi"/>
          <w:sz w:val="24"/>
          <w:szCs w:val="24"/>
        </w:rPr>
        <w:t xml:space="preserve">. It was hypothesized that participants with anxiety would experience more pain measures than participants without anxiety. Additionally, anxiety and migraine were assessed with covariates in mind. </w:t>
      </w:r>
    </w:p>
    <w:p w14:paraId="4B5F33E9" w14:textId="77777777" w:rsidR="009832C0" w:rsidRPr="00CD2F5C" w:rsidRDefault="009832C0" w:rsidP="002B0F75">
      <w:pPr>
        <w:spacing w:line="360" w:lineRule="auto"/>
        <w:rPr>
          <w:rFonts w:ascii="Cambria" w:hAnsi="Cambria" w:cstheme="minorHAnsi"/>
          <w:sz w:val="24"/>
          <w:szCs w:val="24"/>
        </w:rPr>
      </w:pPr>
      <w:bookmarkStart w:id="191" w:name="_Hlk27010883"/>
      <w:r w:rsidRPr="00CD2F5C">
        <w:rPr>
          <w:rFonts w:ascii="Cambria" w:hAnsi="Cambria" w:cstheme="minorHAnsi"/>
          <w:sz w:val="24"/>
          <w:szCs w:val="24"/>
        </w:rPr>
        <w:t xml:space="preserve">Reporting as female increased the odds of anxiety by 39.9%, holding the rest of the variables constant. Age was negatively correlated with the presence of anxiety; for every unit increase in age there was a corresponding 2.2% decrease in the odds of reporting anxiety. </w:t>
      </w:r>
    </w:p>
    <w:p w14:paraId="1E574F3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For examining migraine, women had twice the odds of reporting migraine compared to men. There was no significant relationship to age regarding migraine occurrence. </w:t>
      </w:r>
      <w:bookmarkEnd w:id="191"/>
    </w:p>
    <w:p w14:paraId="16875F41" w14:textId="77777777" w:rsidR="009832C0" w:rsidRPr="00CD2F5C" w:rsidRDefault="009832C0" w:rsidP="002B0F75">
      <w:pPr>
        <w:spacing w:line="360" w:lineRule="auto"/>
        <w:rPr>
          <w:rFonts w:ascii="Cambria" w:hAnsi="Cambria" w:cstheme="minorHAnsi"/>
          <w:b/>
          <w:sz w:val="24"/>
          <w:szCs w:val="24"/>
          <w:lang w:eastAsia="ja-JP"/>
        </w:rPr>
      </w:pPr>
      <w:r w:rsidRPr="00CD2F5C">
        <w:rPr>
          <w:rFonts w:ascii="Cambria" w:hAnsi="Cambria" w:cstheme="minorHAnsi"/>
          <w:b/>
          <w:sz w:val="24"/>
          <w:szCs w:val="24"/>
          <w:lang w:eastAsia="ja-JP"/>
        </w:rPr>
        <w:lastRenderedPageBreak/>
        <w:t>Table 1: Original logistic regression analysis results</w:t>
      </w:r>
    </w:p>
    <w:tbl>
      <w:tblPr>
        <w:tblStyle w:val="APAReport"/>
        <w:tblW w:w="9360" w:type="dxa"/>
        <w:tblLook w:val="04A0" w:firstRow="1" w:lastRow="0" w:firstColumn="1" w:lastColumn="0" w:noHBand="0" w:noVBand="1"/>
      </w:tblPr>
      <w:tblGrid>
        <w:gridCol w:w="1718"/>
        <w:gridCol w:w="1340"/>
        <w:gridCol w:w="1343"/>
        <w:gridCol w:w="1419"/>
        <w:gridCol w:w="1326"/>
        <w:gridCol w:w="2214"/>
      </w:tblGrid>
      <w:tr w:rsidR="009832C0" w:rsidRPr="00CD2F5C" w14:paraId="3A1829E2" w14:textId="77777777" w:rsidTr="006417A0">
        <w:trPr>
          <w:cnfStyle w:val="100000000000" w:firstRow="1" w:lastRow="0" w:firstColumn="0" w:lastColumn="0" w:oddVBand="0" w:evenVBand="0" w:oddHBand="0" w:evenHBand="0" w:firstRowFirstColumn="0" w:firstRowLastColumn="0" w:lastRowFirstColumn="0" w:lastRowLastColumn="0"/>
        </w:trPr>
        <w:tc>
          <w:tcPr>
            <w:tcW w:w="1620" w:type="dxa"/>
            <w:shd w:val="clear" w:color="auto" w:fill="D9D9D9" w:themeFill="background1" w:themeFillShade="D9"/>
          </w:tcPr>
          <w:p w14:paraId="625E0BC4" w14:textId="77777777" w:rsidR="009832C0" w:rsidRPr="00CD2F5C" w:rsidRDefault="009832C0" w:rsidP="002B0F75">
            <w:pPr>
              <w:spacing w:line="360" w:lineRule="auto"/>
              <w:rPr>
                <w:rFonts w:ascii="Cambria" w:hAnsi="Cambria" w:cstheme="minorHAnsi"/>
                <w:b/>
              </w:rPr>
            </w:pPr>
            <w:bookmarkStart w:id="192" w:name="_Hlk27009628"/>
            <w:r w:rsidRPr="00CD2F5C">
              <w:rPr>
                <w:rFonts w:ascii="Cambria" w:hAnsi="Cambria" w:cstheme="minorHAnsi"/>
                <w:b/>
              </w:rPr>
              <w:t>Parameter</w:t>
            </w:r>
          </w:p>
        </w:tc>
        <w:tc>
          <w:tcPr>
            <w:tcW w:w="1350" w:type="dxa"/>
            <w:shd w:val="clear" w:color="auto" w:fill="D9D9D9" w:themeFill="background1" w:themeFillShade="D9"/>
          </w:tcPr>
          <w:p w14:paraId="4CF63F29"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Estimate</w:t>
            </w:r>
          </w:p>
        </w:tc>
        <w:tc>
          <w:tcPr>
            <w:tcW w:w="1350" w:type="dxa"/>
            <w:shd w:val="clear" w:color="auto" w:fill="D9D9D9" w:themeFill="background1" w:themeFillShade="D9"/>
          </w:tcPr>
          <w:p w14:paraId="1DE1E362"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Standard Error</w:t>
            </w:r>
          </w:p>
        </w:tc>
        <w:tc>
          <w:tcPr>
            <w:tcW w:w="1440" w:type="dxa"/>
            <w:shd w:val="clear" w:color="auto" w:fill="D9D9D9" w:themeFill="background1" w:themeFillShade="D9"/>
          </w:tcPr>
          <w:p w14:paraId="7DDCF81F"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Chi-Square</w:t>
            </w:r>
          </w:p>
        </w:tc>
        <w:tc>
          <w:tcPr>
            <w:tcW w:w="1350" w:type="dxa"/>
            <w:shd w:val="clear" w:color="auto" w:fill="D9D9D9" w:themeFill="background1" w:themeFillShade="D9"/>
          </w:tcPr>
          <w:p w14:paraId="2127AF14" w14:textId="77777777" w:rsidR="009832C0" w:rsidRPr="00CD2F5C" w:rsidRDefault="009832C0" w:rsidP="002B0F75">
            <w:pPr>
              <w:spacing w:line="360" w:lineRule="auto"/>
              <w:rPr>
                <w:rFonts w:ascii="Cambria" w:hAnsi="Cambria" w:cstheme="minorHAnsi"/>
                <w:b/>
              </w:rPr>
            </w:pPr>
            <w:proofErr w:type="spellStart"/>
            <w:r w:rsidRPr="00CD2F5C">
              <w:rPr>
                <w:rFonts w:ascii="Cambria" w:hAnsi="Cambria" w:cstheme="minorHAnsi"/>
                <w:b/>
              </w:rPr>
              <w:t>Pr</w:t>
            </w:r>
            <w:proofErr w:type="spellEnd"/>
            <w:r w:rsidRPr="00CD2F5C">
              <w:rPr>
                <w:rFonts w:ascii="Cambria" w:hAnsi="Cambria" w:cstheme="minorHAnsi"/>
                <w:b/>
              </w:rPr>
              <w:t xml:space="preserve"> &gt; </w:t>
            </w:r>
            <w:proofErr w:type="spellStart"/>
            <w:r w:rsidRPr="00CD2F5C">
              <w:rPr>
                <w:rFonts w:ascii="Cambria" w:hAnsi="Cambria" w:cstheme="minorHAnsi"/>
                <w:b/>
              </w:rPr>
              <w:t>ChiSq</w:t>
            </w:r>
            <w:proofErr w:type="spellEnd"/>
          </w:p>
        </w:tc>
        <w:tc>
          <w:tcPr>
            <w:tcW w:w="2250" w:type="dxa"/>
            <w:shd w:val="clear" w:color="auto" w:fill="D9D9D9" w:themeFill="background1" w:themeFillShade="D9"/>
          </w:tcPr>
          <w:p w14:paraId="0A7468D0"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Odds Ratio</w:t>
            </w:r>
          </w:p>
          <w:p w14:paraId="2EE59F2C"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(95% CI)</w:t>
            </w:r>
          </w:p>
        </w:tc>
      </w:tr>
      <w:tr w:rsidR="009832C0" w:rsidRPr="00CD2F5C" w14:paraId="70A80B3C" w14:textId="77777777" w:rsidTr="006417A0">
        <w:tc>
          <w:tcPr>
            <w:tcW w:w="1620" w:type="dxa"/>
          </w:tcPr>
          <w:p w14:paraId="4C0BA735"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Intercept</w:t>
            </w:r>
          </w:p>
        </w:tc>
        <w:tc>
          <w:tcPr>
            <w:tcW w:w="1350" w:type="dxa"/>
          </w:tcPr>
          <w:p w14:paraId="761A6981"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-0.8156</w:t>
            </w:r>
          </w:p>
        </w:tc>
        <w:tc>
          <w:tcPr>
            <w:tcW w:w="1350" w:type="dxa"/>
          </w:tcPr>
          <w:p w14:paraId="6E4E5E1D"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0.2588</w:t>
            </w:r>
          </w:p>
        </w:tc>
        <w:tc>
          <w:tcPr>
            <w:tcW w:w="1440" w:type="dxa"/>
          </w:tcPr>
          <w:p w14:paraId="4F7D803C"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9.9292</w:t>
            </w:r>
          </w:p>
        </w:tc>
        <w:tc>
          <w:tcPr>
            <w:tcW w:w="1350" w:type="dxa"/>
          </w:tcPr>
          <w:p w14:paraId="1CAD67D3"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0.0016</w:t>
            </w:r>
          </w:p>
        </w:tc>
        <w:tc>
          <w:tcPr>
            <w:tcW w:w="2250" w:type="dxa"/>
          </w:tcPr>
          <w:p w14:paraId="4374BDF4"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w:t>
            </w:r>
          </w:p>
        </w:tc>
      </w:tr>
      <w:tr w:rsidR="009832C0" w:rsidRPr="00CD2F5C" w14:paraId="2F6D9587" w14:textId="77777777" w:rsidTr="006417A0">
        <w:tc>
          <w:tcPr>
            <w:tcW w:w="1620" w:type="dxa"/>
          </w:tcPr>
          <w:p w14:paraId="79C3F594"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QPAINQU8</w:t>
            </w:r>
          </w:p>
        </w:tc>
        <w:tc>
          <w:tcPr>
            <w:tcW w:w="1350" w:type="dxa"/>
          </w:tcPr>
          <w:p w14:paraId="6DB12779"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-0.0313</w:t>
            </w:r>
          </w:p>
        </w:tc>
        <w:tc>
          <w:tcPr>
            <w:tcW w:w="1350" w:type="dxa"/>
          </w:tcPr>
          <w:p w14:paraId="40443EC6"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0.0640</w:t>
            </w:r>
          </w:p>
        </w:tc>
        <w:tc>
          <w:tcPr>
            <w:tcW w:w="1440" w:type="dxa"/>
          </w:tcPr>
          <w:p w14:paraId="1529087A"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0.2391</w:t>
            </w:r>
          </w:p>
        </w:tc>
        <w:tc>
          <w:tcPr>
            <w:tcW w:w="1350" w:type="dxa"/>
          </w:tcPr>
          <w:p w14:paraId="6236DBED"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0.6249</w:t>
            </w:r>
          </w:p>
        </w:tc>
        <w:tc>
          <w:tcPr>
            <w:tcW w:w="2250" w:type="dxa"/>
          </w:tcPr>
          <w:p w14:paraId="6DA0085C"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0.969 (0.855, 1.099)</w:t>
            </w:r>
          </w:p>
        </w:tc>
      </w:tr>
      <w:tr w:rsidR="009832C0" w:rsidRPr="00CD2F5C" w14:paraId="13C9D15F" w14:textId="77777777" w:rsidTr="006417A0">
        <w:tc>
          <w:tcPr>
            <w:tcW w:w="1620" w:type="dxa"/>
          </w:tcPr>
          <w:p w14:paraId="1A0E294C"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QPAININ3</w:t>
            </w:r>
          </w:p>
        </w:tc>
        <w:tc>
          <w:tcPr>
            <w:tcW w:w="1350" w:type="dxa"/>
          </w:tcPr>
          <w:p w14:paraId="2C530680"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0.0266</w:t>
            </w:r>
          </w:p>
        </w:tc>
        <w:tc>
          <w:tcPr>
            <w:tcW w:w="1350" w:type="dxa"/>
          </w:tcPr>
          <w:p w14:paraId="082D37B1"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0.0636</w:t>
            </w:r>
          </w:p>
        </w:tc>
        <w:tc>
          <w:tcPr>
            <w:tcW w:w="1440" w:type="dxa"/>
          </w:tcPr>
          <w:p w14:paraId="49BE36F3"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0.1750</w:t>
            </w:r>
          </w:p>
        </w:tc>
        <w:tc>
          <w:tcPr>
            <w:tcW w:w="1350" w:type="dxa"/>
          </w:tcPr>
          <w:p w14:paraId="214EE437"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0.6757</w:t>
            </w:r>
          </w:p>
        </w:tc>
        <w:tc>
          <w:tcPr>
            <w:tcW w:w="2250" w:type="dxa"/>
          </w:tcPr>
          <w:p w14:paraId="6A95E6F2"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1.027 (0.907, 1.163)</w:t>
            </w:r>
          </w:p>
        </w:tc>
      </w:tr>
      <w:tr w:rsidR="009832C0" w:rsidRPr="00CD2F5C" w14:paraId="36518B1E" w14:textId="77777777" w:rsidTr="006417A0">
        <w:tc>
          <w:tcPr>
            <w:tcW w:w="1620" w:type="dxa"/>
          </w:tcPr>
          <w:p w14:paraId="4071DBDD"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QPAININ11r1</w:t>
            </w:r>
          </w:p>
        </w:tc>
        <w:tc>
          <w:tcPr>
            <w:tcW w:w="1350" w:type="dxa"/>
          </w:tcPr>
          <w:p w14:paraId="6B0C8985"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0.3214</w:t>
            </w:r>
          </w:p>
        </w:tc>
        <w:tc>
          <w:tcPr>
            <w:tcW w:w="1350" w:type="dxa"/>
          </w:tcPr>
          <w:p w14:paraId="5B04A428"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0.0610</w:t>
            </w:r>
          </w:p>
        </w:tc>
        <w:tc>
          <w:tcPr>
            <w:tcW w:w="1440" w:type="dxa"/>
          </w:tcPr>
          <w:p w14:paraId="5C1A81A6"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27.7109</w:t>
            </w:r>
          </w:p>
        </w:tc>
        <w:tc>
          <w:tcPr>
            <w:tcW w:w="1350" w:type="dxa"/>
          </w:tcPr>
          <w:p w14:paraId="7FECA574"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&lt;.0001</w:t>
            </w:r>
          </w:p>
        </w:tc>
        <w:tc>
          <w:tcPr>
            <w:tcW w:w="2250" w:type="dxa"/>
          </w:tcPr>
          <w:p w14:paraId="34943F6A"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1.379 (1.223, 1.554)</w:t>
            </w:r>
          </w:p>
        </w:tc>
      </w:tr>
      <w:tr w:rsidR="009832C0" w:rsidRPr="00CD2F5C" w14:paraId="48672CD6" w14:textId="77777777" w:rsidTr="006417A0">
        <w:tc>
          <w:tcPr>
            <w:tcW w:w="1620" w:type="dxa"/>
          </w:tcPr>
          <w:p w14:paraId="7152CDEB"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QPAININ31</w:t>
            </w:r>
          </w:p>
        </w:tc>
        <w:tc>
          <w:tcPr>
            <w:tcW w:w="1350" w:type="dxa"/>
          </w:tcPr>
          <w:p w14:paraId="10B2B047"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-0.0828</w:t>
            </w:r>
          </w:p>
        </w:tc>
        <w:tc>
          <w:tcPr>
            <w:tcW w:w="1350" w:type="dxa"/>
          </w:tcPr>
          <w:p w14:paraId="322149AB"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0.0607</w:t>
            </w:r>
          </w:p>
        </w:tc>
        <w:tc>
          <w:tcPr>
            <w:tcW w:w="1440" w:type="dxa"/>
          </w:tcPr>
          <w:p w14:paraId="4213EF9A"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1.8580</w:t>
            </w:r>
          </w:p>
        </w:tc>
        <w:tc>
          <w:tcPr>
            <w:tcW w:w="1350" w:type="dxa"/>
          </w:tcPr>
          <w:p w14:paraId="11DBAF8E"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0.1729</w:t>
            </w:r>
          </w:p>
        </w:tc>
        <w:tc>
          <w:tcPr>
            <w:tcW w:w="2250" w:type="dxa"/>
          </w:tcPr>
          <w:p w14:paraId="33EA8E70"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0.921 (0.817,1.037)</w:t>
            </w:r>
          </w:p>
        </w:tc>
      </w:tr>
      <w:tr w:rsidR="009832C0" w:rsidRPr="00CD2F5C" w14:paraId="31E162C0" w14:textId="77777777" w:rsidTr="006417A0">
        <w:tc>
          <w:tcPr>
            <w:tcW w:w="1620" w:type="dxa"/>
          </w:tcPr>
          <w:p w14:paraId="392FF8E4"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QHUI16</w:t>
            </w:r>
          </w:p>
        </w:tc>
        <w:tc>
          <w:tcPr>
            <w:tcW w:w="1350" w:type="dxa"/>
          </w:tcPr>
          <w:p w14:paraId="006C12EE"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-0.3233</w:t>
            </w:r>
          </w:p>
        </w:tc>
        <w:tc>
          <w:tcPr>
            <w:tcW w:w="1350" w:type="dxa"/>
          </w:tcPr>
          <w:p w14:paraId="4D1EEE9B"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0.0503</w:t>
            </w:r>
          </w:p>
        </w:tc>
        <w:tc>
          <w:tcPr>
            <w:tcW w:w="1440" w:type="dxa"/>
          </w:tcPr>
          <w:p w14:paraId="36B4885A"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41.2455</w:t>
            </w:r>
          </w:p>
        </w:tc>
        <w:tc>
          <w:tcPr>
            <w:tcW w:w="1350" w:type="dxa"/>
          </w:tcPr>
          <w:p w14:paraId="46DFB40B"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&lt;.0001</w:t>
            </w:r>
          </w:p>
        </w:tc>
        <w:tc>
          <w:tcPr>
            <w:tcW w:w="2250" w:type="dxa"/>
          </w:tcPr>
          <w:p w14:paraId="0F0AF18D"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0.724 (0.656, 0.799)</w:t>
            </w:r>
          </w:p>
        </w:tc>
      </w:tr>
      <w:bookmarkEnd w:id="192"/>
    </w:tbl>
    <w:p w14:paraId="2E961FE4" w14:textId="77777777" w:rsidR="009832C0" w:rsidRPr="00CD2F5C" w:rsidRDefault="009832C0" w:rsidP="002B0F75">
      <w:pPr>
        <w:spacing w:line="360" w:lineRule="auto"/>
        <w:rPr>
          <w:rFonts w:ascii="Cambria" w:eastAsia="Calibri" w:hAnsi="Cambria" w:cstheme="minorHAnsi"/>
          <w:sz w:val="24"/>
          <w:szCs w:val="24"/>
        </w:rPr>
      </w:pPr>
    </w:p>
    <w:p w14:paraId="505233E3"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t xml:space="preserve">Of the five dependent variables, only the experience of emotional tension as a result of pain (QPAININ11r1) and overall health (QHUI16) were statistically significant in regard to the dependent variable of anxiety status. </w:t>
      </w:r>
    </w:p>
    <w:p w14:paraId="7C9D5EEE"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t xml:space="preserve">The odds ratio of 1.379 indicates that for every unit increase in the pain scale (emotional tension), there was a corresponding 37.9% increase in odds of having anxiety, with all the other variables held constant. This means that of the 5 independent variables, experiencing pain due to emotional tension was the most significant potential association with having an anxiety diagnosis.   </w:t>
      </w:r>
    </w:p>
    <w:p w14:paraId="3C4FDE00"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t>There was a negative association between anxiety and overall health, with the odds ratio estimate being 0.724. The inverse of this odds ratio (1/0.724 = 1.381) means that for every unit increase in overall health there is a corresponding 38.1% increase in odds of not having anxiety, holding the rest of the variables constant.</w:t>
      </w:r>
    </w:p>
    <w:p w14:paraId="5F04847C" w14:textId="77777777" w:rsidR="009832C0" w:rsidRPr="00CD2F5C" w:rsidRDefault="009832C0" w:rsidP="002B0F75">
      <w:pPr>
        <w:spacing w:line="360" w:lineRule="auto"/>
        <w:rPr>
          <w:rFonts w:ascii="Cambria" w:eastAsia="Calibri" w:hAnsi="Cambria" w:cstheme="minorHAnsi"/>
          <w:b/>
          <w:sz w:val="24"/>
          <w:szCs w:val="24"/>
        </w:rPr>
      </w:pPr>
      <w:r w:rsidRPr="00CD2F5C">
        <w:rPr>
          <w:rFonts w:ascii="Cambria" w:eastAsia="Calibri" w:hAnsi="Cambria" w:cstheme="minorHAnsi"/>
          <w:b/>
          <w:sz w:val="24"/>
          <w:szCs w:val="24"/>
        </w:rPr>
        <w:t>Table 2: Additional covariates (age and gender) analysis results</w:t>
      </w:r>
    </w:p>
    <w:tbl>
      <w:tblPr>
        <w:tblStyle w:val="APAReport"/>
        <w:tblW w:w="0" w:type="auto"/>
        <w:tblLook w:val="04A0" w:firstRow="1" w:lastRow="0" w:firstColumn="1" w:lastColumn="0" w:noHBand="0" w:noVBand="1"/>
      </w:tblPr>
      <w:tblGrid>
        <w:gridCol w:w="1398"/>
        <w:gridCol w:w="1259"/>
        <w:gridCol w:w="1348"/>
        <w:gridCol w:w="1433"/>
        <w:gridCol w:w="1254"/>
        <w:gridCol w:w="2668"/>
      </w:tblGrid>
      <w:tr w:rsidR="009832C0" w:rsidRPr="00CD2F5C" w14:paraId="60478A4E" w14:textId="77777777" w:rsidTr="006417A0">
        <w:trPr>
          <w:cnfStyle w:val="100000000000" w:firstRow="1" w:lastRow="0" w:firstColumn="0" w:lastColumn="0" w:oddVBand="0" w:evenVBand="0" w:oddHBand="0" w:evenHBand="0" w:firstRowFirstColumn="0" w:firstRowLastColumn="0" w:lastRowFirstColumn="0" w:lastRowLastColumn="0"/>
        </w:trPr>
        <w:tc>
          <w:tcPr>
            <w:tcW w:w="1350" w:type="dxa"/>
            <w:shd w:val="clear" w:color="auto" w:fill="D9D9D9" w:themeFill="background1" w:themeFillShade="D9"/>
          </w:tcPr>
          <w:p w14:paraId="4B5B64C2"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lastRenderedPageBreak/>
              <w:t>Parameter</w:t>
            </w:r>
          </w:p>
        </w:tc>
        <w:tc>
          <w:tcPr>
            <w:tcW w:w="1260" w:type="dxa"/>
            <w:shd w:val="clear" w:color="auto" w:fill="D9D9D9" w:themeFill="background1" w:themeFillShade="D9"/>
          </w:tcPr>
          <w:p w14:paraId="0C354CE8"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Estimate</w:t>
            </w:r>
          </w:p>
        </w:tc>
        <w:tc>
          <w:tcPr>
            <w:tcW w:w="1350" w:type="dxa"/>
            <w:shd w:val="clear" w:color="auto" w:fill="D9D9D9" w:themeFill="background1" w:themeFillShade="D9"/>
          </w:tcPr>
          <w:p w14:paraId="73D41F5E"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Standard Error</w:t>
            </w:r>
          </w:p>
        </w:tc>
        <w:tc>
          <w:tcPr>
            <w:tcW w:w="1440" w:type="dxa"/>
            <w:shd w:val="clear" w:color="auto" w:fill="D9D9D9" w:themeFill="background1" w:themeFillShade="D9"/>
          </w:tcPr>
          <w:p w14:paraId="2BC4571B"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Chi-Square</w:t>
            </w:r>
          </w:p>
        </w:tc>
        <w:tc>
          <w:tcPr>
            <w:tcW w:w="1260" w:type="dxa"/>
            <w:shd w:val="clear" w:color="auto" w:fill="D9D9D9" w:themeFill="background1" w:themeFillShade="D9"/>
          </w:tcPr>
          <w:p w14:paraId="264E6753" w14:textId="77777777" w:rsidR="009832C0" w:rsidRPr="00CD2F5C" w:rsidRDefault="009832C0" w:rsidP="002B0F75">
            <w:pPr>
              <w:spacing w:line="360" w:lineRule="auto"/>
              <w:rPr>
                <w:rFonts w:ascii="Cambria" w:hAnsi="Cambria" w:cstheme="minorHAnsi"/>
                <w:b/>
              </w:rPr>
            </w:pPr>
            <w:proofErr w:type="spellStart"/>
            <w:r w:rsidRPr="00CD2F5C">
              <w:rPr>
                <w:rFonts w:ascii="Cambria" w:hAnsi="Cambria" w:cstheme="minorHAnsi"/>
                <w:b/>
              </w:rPr>
              <w:t>Pr</w:t>
            </w:r>
            <w:proofErr w:type="spellEnd"/>
            <w:r w:rsidRPr="00CD2F5C">
              <w:rPr>
                <w:rFonts w:ascii="Cambria" w:hAnsi="Cambria" w:cstheme="minorHAnsi"/>
                <w:b/>
              </w:rPr>
              <w:t xml:space="preserve"> &gt; </w:t>
            </w:r>
            <w:proofErr w:type="spellStart"/>
            <w:r w:rsidRPr="00CD2F5C">
              <w:rPr>
                <w:rFonts w:ascii="Cambria" w:hAnsi="Cambria" w:cstheme="minorHAnsi"/>
                <w:b/>
              </w:rPr>
              <w:t>ChiSq</w:t>
            </w:r>
            <w:proofErr w:type="spellEnd"/>
          </w:p>
        </w:tc>
        <w:tc>
          <w:tcPr>
            <w:tcW w:w="2700" w:type="dxa"/>
            <w:shd w:val="clear" w:color="auto" w:fill="D9D9D9" w:themeFill="background1" w:themeFillShade="D9"/>
          </w:tcPr>
          <w:p w14:paraId="28DE9DB1"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Odds Ratio</w:t>
            </w:r>
          </w:p>
          <w:p w14:paraId="7F544E29" w14:textId="77777777" w:rsidR="009832C0" w:rsidRPr="00CD2F5C" w:rsidRDefault="009832C0" w:rsidP="002B0F75">
            <w:pPr>
              <w:spacing w:line="360" w:lineRule="auto"/>
              <w:rPr>
                <w:rFonts w:ascii="Cambria" w:hAnsi="Cambria" w:cstheme="minorHAnsi"/>
                <w:b/>
              </w:rPr>
            </w:pPr>
            <w:r w:rsidRPr="00CD2F5C">
              <w:rPr>
                <w:rFonts w:ascii="Cambria" w:hAnsi="Cambria" w:cstheme="minorHAnsi"/>
                <w:b/>
              </w:rPr>
              <w:t>(95% CI)</w:t>
            </w:r>
          </w:p>
        </w:tc>
      </w:tr>
      <w:tr w:rsidR="009832C0" w:rsidRPr="00CD2F5C" w14:paraId="5B2DED6F" w14:textId="77777777" w:rsidTr="006417A0">
        <w:tc>
          <w:tcPr>
            <w:tcW w:w="1350" w:type="dxa"/>
          </w:tcPr>
          <w:p w14:paraId="3391C5A7"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Intercept</w:t>
            </w:r>
          </w:p>
        </w:tc>
        <w:tc>
          <w:tcPr>
            <w:tcW w:w="1260" w:type="dxa"/>
          </w:tcPr>
          <w:p w14:paraId="7A58600C"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-0.4036</w:t>
            </w:r>
          </w:p>
        </w:tc>
        <w:tc>
          <w:tcPr>
            <w:tcW w:w="1350" w:type="dxa"/>
          </w:tcPr>
          <w:p w14:paraId="2B699808"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0.5238</w:t>
            </w:r>
          </w:p>
        </w:tc>
        <w:tc>
          <w:tcPr>
            <w:tcW w:w="1440" w:type="dxa"/>
          </w:tcPr>
          <w:p w14:paraId="0CFA457F"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0.5939</w:t>
            </w:r>
          </w:p>
        </w:tc>
        <w:tc>
          <w:tcPr>
            <w:tcW w:w="1260" w:type="dxa"/>
          </w:tcPr>
          <w:p w14:paraId="7848E3C3"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0.4409</w:t>
            </w:r>
          </w:p>
        </w:tc>
        <w:tc>
          <w:tcPr>
            <w:tcW w:w="2700" w:type="dxa"/>
          </w:tcPr>
          <w:p w14:paraId="1F56ACBF"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w:t>
            </w:r>
          </w:p>
        </w:tc>
      </w:tr>
      <w:tr w:rsidR="009832C0" w:rsidRPr="00CD2F5C" w14:paraId="6C03F129" w14:textId="77777777" w:rsidTr="006417A0">
        <w:tc>
          <w:tcPr>
            <w:tcW w:w="1350" w:type="dxa"/>
          </w:tcPr>
          <w:p w14:paraId="0BFA9132"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Qsocio03</w:t>
            </w:r>
          </w:p>
        </w:tc>
        <w:tc>
          <w:tcPr>
            <w:tcW w:w="1260" w:type="dxa"/>
          </w:tcPr>
          <w:p w14:paraId="26A0E4C9"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-0.1369</w:t>
            </w:r>
          </w:p>
        </w:tc>
        <w:tc>
          <w:tcPr>
            <w:tcW w:w="1350" w:type="dxa"/>
          </w:tcPr>
          <w:p w14:paraId="0575C0A6"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0.0489</w:t>
            </w:r>
          </w:p>
        </w:tc>
        <w:tc>
          <w:tcPr>
            <w:tcW w:w="1440" w:type="dxa"/>
          </w:tcPr>
          <w:p w14:paraId="116C5AAD"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7.8405</w:t>
            </w:r>
          </w:p>
        </w:tc>
        <w:tc>
          <w:tcPr>
            <w:tcW w:w="1260" w:type="dxa"/>
          </w:tcPr>
          <w:p w14:paraId="04DF656F"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0.0051</w:t>
            </w:r>
          </w:p>
        </w:tc>
        <w:tc>
          <w:tcPr>
            <w:tcW w:w="2700" w:type="dxa"/>
          </w:tcPr>
          <w:p w14:paraId="09430ADA"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0.459 (0.368, 0.571)</w:t>
            </w:r>
          </w:p>
        </w:tc>
      </w:tr>
      <w:tr w:rsidR="009832C0" w:rsidRPr="00CD2F5C" w14:paraId="71D396B5" w14:textId="77777777" w:rsidTr="006417A0">
        <w:tc>
          <w:tcPr>
            <w:tcW w:w="1350" w:type="dxa"/>
          </w:tcPr>
          <w:p w14:paraId="6E4792ED" w14:textId="77777777" w:rsidR="009832C0" w:rsidRPr="00CD2F5C" w:rsidRDefault="009832C0" w:rsidP="002B0F75">
            <w:pPr>
              <w:spacing w:line="360" w:lineRule="auto"/>
              <w:rPr>
                <w:rFonts w:ascii="Cambria" w:hAnsi="Cambria" w:cstheme="minorHAnsi"/>
                <w:b/>
                <w:bCs/>
              </w:rPr>
            </w:pPr>
            <w:r w:rsidRPr="00CD2F5C">
              <w:rPr>
                <w:rFonts w:ascii="Cambria" w:hAnsi="Cambria" w:cstheme="minorHAnsi"/>
                <w:b/>
                <w:bCs/>
              </w:rPr>
              <w:t>Qsocio02</w:t>
            </w:r>
          </w:p>
        </w:tc>
        <w:tc>
          <w:tcPr>
            <w:tcW w:w="1260" w:type="dxa"/>
          </w:tcPr>
          <w:p w14:paraId="4ADC70A1"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-0.0181</w:t>
            </w:r>
          </w:p>
        </w:tc>
        <w:tc>
          <w:tcPr>
            <w:tcW w:w="1350" w:type="dxa"/>
          </w:tcPr>
          <w:p w14:paraId="05D9A4F0"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0.00325</w:t>
            </w:r>
          </w:p>
        </w:tc>
        <w:tc>
          <w:tcPr>
            <w:tcW w:w="1440" w:type="dxa"/>
          </w:tcPr>
          <w:p w14:paraId="09993381"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31.1730</w:t>
            </w:r>
          </w:p>
        </w:tc>
        <w:tc>
          <w:tcPr>
            <w:tcW w:w="1260" w:type="dxa"/>
          </w:tcPr>
          <w:p w14:paraId="555984B3"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&lt;.0001</w:t>
            </w:r>
          </w:p>
        </w:tc>
        <w:tc>
          <w:tcPr>
            <w:tcW w:w="2700" w:type="dxa"/>
          </w:tcPr>
          <w:p w14:paraId="6644A0A4" w14:textId="77777777" w:rsidR="009832C0" w:rsidRPr="00CD2F5C" w:rsidRDefault="009832C0" w:rsidP="002B0F75">
            <w:pPr>
              <w:spacing w:line="360" w:lineRule="auto"/>
              <w:rPr>
                <w:rFonts w:ascii="Cambria" w:hAnsi="Cambria" w:cstheme="minorHAnsi"/>
              </w:rPr>
            </w:pPr>
            <w:r w:rsidRPr="00CD2F5C">
              <w:rPr>
                <w:rFonts w:ascii="Cambria" w:hAnsi="Cambria" w:cstheme="minorHAnsi"/>
              </w:rPr>
              <w:t>0.993 (0.987, 1.000)</w:t>
            </w:r>
          </w:p>
        </w:tc>
      </w:tr>
    </w:tbl>
    <w:p w14:paraId="5D498381" w14:textId="77777777" w:rsidR="009832C0" w:rsidRPr="00CD2F5C" w:rsidRDefault="009832C0" w:rsidP="002B0F75">
      <w:pPr>
        <w:spacing w:line="360" w:lineRule="auto"/>
        <w:rPr>
          <w:rFonts w:ascii="Cambria" w:eastAsia="Calibri" w:hAnsi="Cambria" w:cstheme="minorHAnsi"/>
          <w:b/>
          <w:sz w:val="24"/>
          <w:szCs w:val="24"/>
        </w:rPr>
      </w:pPr>
    </w:p>
    <w:p w14:paraId="6846DF7A"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t>Women had a higher incidence of anxiety, with 362 out of 1541 (or 23.49%) reported to have diagnosed anxiety. Men had 281 out of 1458 (or 19.27%) reported to have anxiety. Adjusting for the covariates in the model, we observed similar results to the primary objective model without the covariates.</w:t>
      </w:r>
    </w:p>
    <w:p w14:paraId="01F82F94"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t>Anxiety diagnosis was still statistically associated with two variables in the model at 95% confidence level: the presence of emotional tension because of pain, and overall health. There was a positive association with anxiety and pain (emotional tension). The odds ratio of 1.346 indicated that for every unit increase in the pain scale (emotional tension), there was a corresponding 34.6% increase in odds of having anxiety, with all the other variables held constant.</w:t>
      </w:r>
    </w:p>
    <w:p w14:paraId="2945F597"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t xml:space="preserve">There was still a </w:t>
      </w:r>
      <w:bookmarkStart w:id="193" w:name="_Hlk104987699"/>
      <w:r w:rsidRPr="00CD2F5C">
        <w:rPr>
          <w:rFonts w:ascii="Cambria" w:eastAsia="Calibri" w:hAnsi="Cambria" w:cstheme="minorHAnsi"/>
          <w:sz w:val="24"/>
          <w:szCs w:val="24"/>
        </w:rPr>
        <w:t>negative association between anxiety and overall health</w:t>
      </w:r>
      <w:bookmarkEnd w:id="193"/>
      <w:r w:rsidRPr="00CD2F5C">
        <w:rPr>
          <w:rFonts w:ascii="Cambria" w:eastAsia="Calibri" w:hAnsi="Cambria" w:cstheme="minorHAnsi"/>
          <w:sz w:val="24"/>
          <w:szCs w:val="24"/>
        </w:rPr>
        <w:t xml:space="preserve">. As with the original model, the remaining 3 independent variables were not statistically significant. </w:t>
      </w:r>
    </w:p>
    <w:p w14:paraId="7BEB7DDE" w14:textId="77777777" w:rsidR="009832C0" w:rsidRPr="00CD2F5C" w:rsidRDefault="009832C0" w:rsidP="002B0F75">
      <w:pPr>
        <w:spacing w:line="360" w:lineRule="auto"/>
        <w:rPr>
          <w:rFonts w:ascii="Cambria" w:hAnsi="Cambria" w:cstheme="minorHAnsi"/>
          <w:b/>
          <w:sz w:val="24"/>
          <w:szCs w:val="24"/>
          <w:lang w:eastAsia="ja-JP"/>
        </w:rPr>
      </w:pPr>
      <w:r w:rsidRPr="00CD2F5C">
        <w:rPr>
          <w:rFonts w:ascii="Cambria" w:hAnsi="Cambria" w:cstheme="minorHAnsi"/>
          <w:b/>
          <w:sz w:val="24"/>
          <w:szCs w:val="24"/>
          <w:lang w:eastAsia="ja-JP"/>
        </w:rPr>
        <w:t>Table 3: Migraine analysis results</w:t>
      </w:r>
    </w:p>
    <w:tbl>
      <w:tblPr>
        <w:tblStyle w:val="APAReport"/>
        <w:tblW w:w="0" w:type="auto"/>
        <w:tblLook w:val="04A0" w:firstRow="1" w:lastRow="0" w:firstColumn="1" w:lastColumn="0" w:noHBand="0" w:noVBand="1"/>
      </w:tblPr>
      <w:tblGrid>
        <w:gridCol w:w="1764"/>
        <w:gridCol w:w="1186"/>
        <w:gridCol w:w="1226"/>
        <w:gridCol w:w="1267"/>
        <w:gridCol w:w="1454"/>
        <w:gridCol w:w="2463"/>
      </w:tblGrid>
      <w:tr w:rsidR="009832C0" w:rsidRPr="00CD2F5C" w14:paraId="58E28714" w14:textId="77777777" w:rsidTr="006417A0">
        <w:trPr>
          <w:cnfStyle w:val="100000000000" w:firstRow="1" w:lastRow="0" w:firstColumn="0" w:lastColumn="0" w:oddVBand="0" w:evenVBand="0" w:oddHBand="0" w:evenHBand="0" w:firstRowFirstColumn="0" w:firstRowLastColumn="0" w:lastRowFirstColumn="0" w:lastRowLastColumn="0"/>
        </w:trPr>
        <w:tc>
          <w:tcPr>
            <w:tcW w:w="1530" w:type="dxa"/>
            <w:shd w:val="clear" w:color="auto" w:fill="D9D9D9" w:themeFill="background1" w:themeFillShade="D9"/>
          </w:tcPr>
          <w:p w14:paraId="1448A097" w14:textId="77777777" w:rsidR="009832C0" w:rsidRPr="00CD2F5C" w:rsidRDefault="009832C0" w:rsidP="002B0F75">
            <w:pPr>
              <w:spacing w:after="160" w:line="360" w:lineRule="auto"/>
              <w:rPr>
                <w:rFonts w:ascii="Cambria" w:eastAsia="Calibri" w:hAnsi="Cambria" w:cstheme="minorHAnsi"/>
                <w:b/>
                <w:lang w:eastAsia="en-US"/>
              </w:rPr>
            </w:pPr>
            <w:bookmarkStart w:id="194" w:name="_Hlk27009716"/>
            <w:r w:rsidRPr="00CD2F5C">
              <w:rPr>
                <w:rFonts w:ascii="Cambria" w:eastAsia="Calibri" w:hAnsi="Cambria" w:cstheme="minorHAnsi"/>
                <w:b/>
                <w:lang w:eastAsia="en-US"/>
              </w:rPr>
              <w:t>Parameter</w:t>
            </w:r>
          </w:p>
        </w:tc>
        <w:tc>
          <w:tcPr>
            <w:tcW w:w="1145" w:type="dxa"/>
            <w:shd w:val="clear" w:color="auto" w:fill="D9D9D9" w:themeFill="background1" w:themeFillShade="D9"/>
          </w:tcPr>
          <w:p w14:paraId="41458CE8" w14:textId="77777777" w:rsidR="009832C0" w:rsidRPr="00CD2F5C" w:rsidRDefault="009832C0" w:rsidP="002B0F75">
            <w:pPr>
              <w:spacing w:after="160" w:line="360" w:lineRule="auto"/>
              <w:rPr>
                <w:rFonts w:ascii="Cambria" w:eastAsia="Calibri" w:hAnsi="Cambria" w:cstheme="minorHAnsi"/>
                <w:b/>
                <w:lang w:eastAsia="en-US"/>
              </w:rPr>
            </w:pPr>
            <w:r w:rsidRPr="00CD2F5C">
              <w:rPr>
                <w:rFonts w:ascii="Cambria" w:eastAsia="Calibri" w:hAnsi="Cambria" w:cstheme="minorHAnsi"/>
                <w:b/>
                <w:lang w:eastAsia="en-US"/>
              </w:rPr>
              <w:t>Estimate</w:t>
            </w:r>
          </w:p>
        </w:tc>
        <w:tc>
          <w:tcPr>
            <w:tcW w:w="1171" w:type="dxa"/>
            <w:shd w:val="clear" w:color="auto" w:fill="D9D9D9" w:themeFill="background1" w:themeFillShade="D9"/>
          </w:tcPr>
          <w:p w14:paraId="243B8822" w14:textId="77777777" w:rsidR="009832C0" w:rsidRPr="00CD2F5C" w:rsidRDefault="009832C0" w:rsidP="002B0F75">
            <w:pPr>
              <w:spacing w:after="160" w:line="360" w:lineRule="auto"/>
              <w:rPr>
                <w:rFonts w:ascii="Cambria" w:eastAsia="Calibri" w:hAnsi="Cambria" w:cstheme="minorHAnsi"/>
                <w:b/>
                <w:lang w:eastAsia="en-US"/>
              </w:rPr>
            </w:pPr>
            <w:r w:rsidRPr="00CD2F5C">
              <w:rPr>
                <w:rFonts w:ascii="Cambria" w:eastAsia="Calibri" w:hAnsi="Cambria" w:cstheme="minorHAnsi"/>
                <w:b/>
                <w:lang w:eastAsia="en-US"/>
              </w:rPr>
              <w:t>Standard Error</w:t>
            </w:r>
          </w:p>
        </w:tc>
        <w:tc>
          <w:tcPr>
            <w:tcW w:w="1279" w:type="dxa"/>
            <w:shd w:val="clear" w:color="auto" w:fill="D9D9D9" w:themeFill="background1" w:themeFillShade="D9"/>
          </w:tcPr>
          <w:p w14:paraId="1AE250C1" w14:textId="77777777" w:rsidR="009832C0" w:rsidRPr="00CD2F5C" w:rsidRDefault="009832C0" w:rsidP="002B0F75">
            <w:pPr>
              <w:spacing w:after="160" w:line="360" w:lineRule="auto"/>
              <w:rPr>
                <w:rFonts w:ascii="Cambria" w:eastAsia="Calibri" w:hAnsi="Cambria" w:cstheme="minorHAnsi"/>
                <w:b/>
                <w:lang w:eastAsia="en-US"/>
              </w:rPr>
            </w:pPr>
            <w:r w:rsidRPr="00CD2F5C">
              <w:rPr>
                <w:rFonts w:ascii="Cambria" w:eastAsia="Calibri" w:hAnsi="Cambria" w:cstheme="minorHAnsi"/>
                <w:b/>
                <w:lang w:eastAsia="en-US"/>
              </w:rPr>
              <w:t>Chi-Square</w:t>
            </w:r>
          </w:p>
        </w:tc>
        <w:tc>
          <w:tcPr>
            <w:tcW w:w="1535" w:type="dxa"/>
            <w:shd w:val="clear" w:color="auto" w:fill="D9D9D9" w:themeFill="background1" w:themeFillShade="D9"/>
          </w:tcPr>
          <w:p w14:paraId="7740ABC4" w14:textId="77777777" w:rsidR="009832C0" w:rsidRPr="00CD2F5C" w:rsidRDefault="009832C0" w:rsidP="002B0F75">
            <w:pPr>
              <w:spacing w:after="160" w:line="360" w:lineRule="auto"/>
              <w:rPr>
                <w:rFonts w:ascii="Cambria" w:eastAsia="Calibri" w:hAnsi="Cambria" w:cstheme="minorHAnsi"/>
                <w:b/>
                <w:lang w:eastAsia="en-US"/>
              </w:rPr>
            </w:pPr>
            <w:proofErr w:type="spellStart"/>
            <w:r w:rsidRPr="00CD2F5C">
              <w:rPr>
                <w:rFonts w:ascii="Cambria" w:eastAsia="Calibri" w:hAnsi="Cambria" w:cstheme="minorHAnsi"/>
                <w:b/>
                <w:lang w:eastAsia="en-US"/>
              </w:rPr>
              <w:t>Pr</w:t>
            </w:r>
            <w:proofErr w:type="spellEnd"/>
            <w:r w:rsidRPr="00CD2F5C">
              <w:rPr>
                <w:rFonts w:ascii="Cambria" w:eastAsia="Calibri" w:hAnsi="Cambria" w:cstheme="minorHAnsi"/>
                <w:b/>
                <w:lang w:eastAsia="en-US"/>
              </w:rPr>
              <w:t xml:space="preserve"> &gt; </w:t>
            </w:r>
            <w:proofErr w:type="spellStart"/>
            <w:r w:rsidRPr="00CD2F5C">
              <w:rPr>
                <w:rFonts w:ascii="Cambria" w:eastAsia="Calibri" w:hAnsi="Cambria" w:cstheme="minorHAnsi"/>
                <w:b/>
                <w:lang w:eastAsia="en-US"/>
              </w:rPr>
              <w:t>ChiSq</w:t>
            </w:r>
            <w:proofErr w:type="spellEnd"/>
          </w:p>
        </w:tc>
        <w:tc>
          <w:tcPr>
            <w:tcW w:w="2700" w:type="dxa"/>
            <w:shd w:val="clear" w:color="auto" w:fill="D9D9D9" w:themeFill="background1" w:themeFillShade="D9"/>
          </w:tcPr>
          <w:p w14:paraId="070A6C20" w14:textId="77777777" w:rsidR="009832C0" w:rsidRPr="00CD2F5C" w:rsidRDefault="009832C0" w:rsidP="002B0F75">
            <w:pPr>
              <w:spacing w:after="160" w:line="360" w:lineRule="auto"/>
              <w:rPr>
                <w:rFonts w:ascii="Cambria" w:eastAsia="Calibri" w:hAnsi="Cambria" w:cstheme="minorHAnsi"/>
                <w:b/>
                <w:lang w:eastAsia="en-US"/>
              </w:rPr>
            </w:pPr>
            <w:r w:rsidRPr="00CD2F5C">
              <w:rPr>
                <w:rFonts w:ascii="Cambria" w:eastAsia="Calibri" w:hAnsi="Cambria" w:cstheme="minorHAnsi"/>
                <w:b/>
                <w:lang w:eastAsia="en-US"/>
              </w:rPr>
              <w:t>Odds Ratio</w:t>
            </w:r>
          </w:p>
          <w:p w14:paraId="35E2CD16" w14:textId="77777777" w:rsidR="009832C0" w:rsidRPr="00CD2F5C" w:rsidRDefault="009832C0" w:rsidP="002B0F75">
            <w:pPr>
              <w:spacing w:after="160" w:line="360" w:lineRule="auto"/>
              <w:rPr>
                <w:rFonts w:ascii="Cambria" w:eastAsia="Calibri" w:hAnsi="Cambria" w:cstheme="minorHAnsi"/>
                <w:b/>
                <w:lang w:eastAsia="en-US"/>
              </w:rPr>
            </w:pPr>
            <w:r w:rsidRPr="00CD2F5C">
              <w:rPr>
                <w:rFonts w:ascii="Cambria" w:eastAsia="Calibri" w:hAnsi="Cambria" w:cstheme="minorHAnsi"/>
                <w:b/>
                <w:lang w:eastAsia="en-US"/>
              </w:rPr>
              <w:t>(95% CI)</w:t>
            </w:r>
          </w:p>
        </w:tc>
      </w:tr>
      <w:tr w:rsidR="009832C0" w:rsidRPr="00CD2F5C" w14:paraId="052EA331" w14:textId="77777777" w:rsidTr="006417A0">
        <w:tc>
          <w:tcPr>
            <w:tcW w:w="1530" w:type="dxa"/>
          </w:tcPr>
          <w:p w14:paraId="0564EC0D" w14:textId="77777777" w:rsidR="009832C0" w:rsidRPr="00CD2F5C" w:rsidRDefault="009832C0" w:rsidP="002B0F75">
            <w:pPr>
              <w:spacing w:after="160" w:line="360" w:lineRule="auto"/>
              <w:rPr>
                <w:rFonts w:ascii="Cambria" w:eastAsia="Calibri" w:hAnsi="Cambria" w:cstheme="minorHAnsi"/>
                <w:b/>
                <w:bCs/>
                <w:lang w:eastAsia="en-US"/>
              </w:rPr>
            </w:pPr>
            <w:r w:rsidRPr="00CD2F5C">
              <w:rPr>
                <w:rFonts w:ascii="Cambria" w:eastAsia="Calibri" w:hAnsi="Cambria" w:cstheme="minorHAnsi"/>
                <w:b/>
                <w:bCs/>
                <w:lang w:eastAsia="en-US"/>
              </w:rPr>
              <w:t>Intercept</w:t>
            </w:r>
          </w:p>
        </w:tc>
        <w:tc>
          <w:tcPr>
            <w:tcW w:w="1145" w:type="dxa"/>
          </w:tcPr>
          <w:p w14:paraId="0BC063C7"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-1.4253</w:t>
            </w:r>
          </w:p>
        </w:tc>
        <w:tc>
          <w:tcPr>
            <w:tcW w:w="1171" w:type="dxa"/>
          </w:tcPr>
          <w:p w14:paraId="6EC06D7B"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0.1421</w:t>
            </w:r>
          </w:p>
        </w:tc>
        <w:tc>
          <w:tcPr>
            <w:tcW w:w="1279" w:type="dxa"/>
          </w:tcPr>
          <w:p w14:paraId="6734FD9E"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100.6566</w:t>
            </w:r>
          </w:p>
        </w:tc>
        <w:tc>
          <w:tcPr>
            <w:tcW w:w="1535" w:type="dxa"/>
          </w:tcPr>
          <w:p w14:paraId="76F29300"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&lt;.0001</w:t>
            </w:r>
          </w:p>
        </w:tc>
        <w:tc>
          <w:tcPr>
            <w:tcW w:w="2700" w:type="dxa"/>
          </w:tcPr>
          <w:p w14:paraId="52FE69D3"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w:t>
            </w:r>
          </w:p>
        </w:tc>
      </w:tr>
      <w:tr w:rsidR="009832C0" w:rsidRPr="00CD2F5C" w14:paraId="5F0450F9" w14:textId="77777777" w:rsidTr="006417A0">
        <w:tc>
          <w:tcPr>
            <w:tcW w:w="1530" w:type="dxa"/>
          </w:tcPr>
          <w:p w14:paraId="6937329D" w14:textId="77777777" w:rsidR="009832C0" w:rsidRPr="00CD2F5C" w:rsidRDefault="009832C0" w:rsidP="002B0F75">
            <w:pPr>
              <w:spacing w:after="160" w:line="360" w:lineRule="auto"/>
              <w:rPr>
                <w:rFonts w:ascii="Cambria" w:eastAsia="Calibri" w:hAnsi="Cambria" w:cstheme="minorHAnsi"/>
                <w:b/>
                <w:bCs/>
                <w:lang w:eastAsia="en-US"/>
              </w:rPr>
            </w:pPr>
            <w:r w:rsidRPr="00CD2F5C">
              <w:rPr>
                <w:rFonts w:ascii="Cambria" w:eastAsia="Calibri" w:hAnsi="Cambria" w:cstheme="minorHAnsi"/>
                <w:b/>
                <w:bCs/>
                <w:lang w:eastAsia="en-US"/>
              </w:rPr>
              <w:t>Qclinic01a_16</w:t>
            </w:r>
          </w:p>
        </w:tc>
        <w:tc>
          <w:tcPr>
            <w:tcW w:w="1145" w:type="dxa"/>
          </w:tcPr>
          <w:p w14:paraId="059DAA7F"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-0.4435</w:t>
            </w:r>
          </w:p>
        </w:tc>
        <w:tc>
          <w:tcPr>
            <w:tcW w:w="1171" w:type="dxa"/>
          </w:tcPr>
          <w:p w14:paraId="0CA28E7A"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0.0551</w:t>
            </w:r>
          </w:p>
        </w:tc>
        <w:tc>
          <w:tcPr>
            <w:tcW w:w="1279" w:type="dxa"/>
          </w:tcPr>
          <w:p w14:paraId="5340849C"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64.8484</w:t>
            </w:r>
          </w:p>
        </w:tc>
        <w:tc>
          <w:tcPr>
            <w:tcW w:w="1535" w:type="dxa"/>
          </w:tcPr>
          <w:p w14:paraId="6D2C278A"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&lt;.0001</w:t>
            </w:r>
          </w:p>
        </w:tc>
        <w:tc>
          <w:tcPr>
            <w:tcW w:w="2700" w:type="dxa"/>
          </w:tcPr>
          <w:p w14:paraId="51F5D54A"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0.412 (0.332, 0.511)</w:t>
            </w:r>
          </w:p>
        </w:tc>
      </w:tr>
      <w:tr w:rsidR="009832C0" w:rsidRPr="00CD2F5C" w14:paraId="77ACA13D" w14:textId="77777777" w:rsidTr="006417A0">
        <w:tc>
          <w:tcPr>
            <w:tcW w:w="1530" w:type="dxa"/>
          </w:tcPr>
          <w:p w14:paraId="43A3392C" w14:textId="77777777" w:rsidR="009832C0" w:rsidRPr="00CD2F5C" w:rsidRDefault="009832C0" w:rsidP="002B0F75">
            <w:pPr>
              <w:spacing w:after="160" w:line="360" w:lineRule="auto"/>
              <w:rPr>
                <w:rFonts w:ascii="Cambria" w:eastAsia="Calibri" w:hAnsi="Cambria" w:cstheme="minorHAnsi"/>
                <w:b/>
                <w:bCs/>
                <w:lang w:eastAsia="en-US"/>
              </w:rPr>
            </w:pPr>
            <w:r w:rsidRPr="00CD2F5C">
              <w:rPr>
                <w:rFonts w:ascii="Cambria" w:eastAsia="Calibri" w:hAnsi="Cambria" w:cstheme="minorHAnsi"/>
                <w:b/>
                <w:bCs/>
                <w:lang w:eastAsia="en-US"/>
              </w:rPr>
              <w:t>Qsocio03</w:t>
            </w:r>
          </w:p>
        </w:tc>
        <w:tc>
          <w:tcPr>
            <w:tcW w:w="1145" w:type="dxa"/>
          </w:tcPr>
          <w:p w14:paraId="67D52938"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-0.3981</w:t>
            </w:r>
          </w:p>
        </w:tc>
        <w:tc>
          <w:tcPr>
            <w:tcW w:w="1171" w:type="dxa"/>
          </w:tcPr>
          <w:p w14:paraId="779B3A2F"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0.0535</w:t>
            </w:r>
          </w:p>
        </w:tc>
        <w:tc>
          <w:tcPr>
            <w:tcW w:w="1279" w:type="dxa"/>
          </w:tcPr>
          <w:p w14:paraId="19140C0C"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55.4068</w:t>
            </w:r>
          </w:p>
        </w:tc>
        <w:tc>
          <w:tcPr>
            <w:tcW w:w="1535" w:type="dxa"/>
          </w:tcPr>
          <w:p w14:paraId="311EDC49"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&lt;.0001</w:t>
            </w:r>
          </w:p>
        </w:tc>
        <w:tc>
          <w:tcPr>
            <w:tcW w:w="2700" w:type="dxa"/>
          </w:tcPr>
          <w:p w14:paraId="07F5B1A4"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0.451 (0.366, 0.556)</w:t>
            </w:r>
          </w:p>
        </w:tc>
      </w:tr>
      <w:tr w:rsidR="009832C0" w:rsidRPr="00CD2F5C" w14:paraId="4BA276B9" w14:textId="77777777" w:rsidTr="006417A0">
        <w:tc>
          <w:tcPr>
            <w:tcW w:w="1530" w:type="dxa"/>
          </w:tcPr>
          <w:p w14:paraId="34B297FF" w14:textId="77777777" w:rsidR="009832C0" w:rsidRPr="00CD2F5C" w:rsidRDefault="009832C0" w:rsidP="002B0F75">
            <w:pPr>
              <w:spacing w:after="160" w:line="360" w:lineRule="auto"/>
              <w:rPr>
                <w:rFonts w:ascii="Cambria" w:eastAsia="Calibri" w:hAnsi="Cambria" w:cstheme="minorHAnsi"/>
                <w:b/>
                <w:bCs/>
                <w:lang w:eastAsia="en-US"/>
              </w:rPr>
            </w:pPr>
            <w:r w:rsidRPr="00CD2F5C">
              <w:rPr>
                <w:rFonts w:ascii="Cambria" w:eastAsia="Calibri" w:hAnsi="Cambria" w:cstheme="minorHAnsi"/>
                <w:b/>
                <w:bCs/>
                <w:lang w:eastAsia="en-US"/>
              </w:rPr>
              <w:t>Qsocio02</w:t>
            </w:r>
          </w:p>
        </w:tc>
        <w:tc>
          <w:tcPr>
            <w:tcW w:w="1145" w:type="dxa"/>
          </w:tcPr>
          <w:p w14:paraId="427DEEC6"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-0.00209</w:t>
            </w:r>
          </w:p>
        </w:tc>
        <w:tc>
          <w:tcPr>
            <w:tcW w:w="1171" w:type="dxa"/>
          </w:tcPr>
          <w:p w14:paraId="743DF34D"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0.00294</w:t>
            </w:r>
          </w:p>
        </w:tc>
        <w:tc>
          <w:tcPr>
            <w:tcW w:w="1279" w:type="dxa"/>
          </w:tcPr>
          <w:p w14:paraId="07ABB4DB"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0.5042</w:t>
            </w:r>
          </w:p>
        </w:tc>
        <w:tc>
          <w:tcPr>
            <w:tcW w:w="1535" w:type="dxa"/>
          </w:tcPr>
          <w:p w14:paraId="6145EDFA"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0.4777</w:t>
            </w:r>
          </w:p>
        </w:tc>
        <w:tc>
          <w:tcPr>
            <w:tcW w:w="2700" w:type="dxa"/>
          </w:tcPr>
          <w:p w14:paraId="52C78768" w14:textId="77777777" w:rsidR="009832C0" w:rsidRPr="00CD2F5C" w:rsidRDefault="009832C0" w:rsidP="002B0F75">
            <w:pPr>
              <w:spacing w:after="160" w:line="360" w:lineRule="auto"/>
              <w:rPr>
                <w:rFonts w:ascii="Cambria" w:eastAsia="Calibri" w:hAnsi="Cambria" w:cstheme="minorHAnsi"/>
                <w:lang w:eastAsia="en-US"/>
              </w:rPr>
            </w:pPr>
            <w:r w:rsidRPr="00CD2F5C">
              <w:rPr>
                <w:rFonts w:ascii="Cambria" w:eastAsia="Calibri" w:hAnsi="Cambria" w:cstheme="minorHAnsi"/>
                <w:lang w:eastAsia="en-US"/>
              </w:rPr>
              <w:t>0.998 (0.992, 1.004)</w:t>
            </w:r>
          </w:p>
        </w:tc>
      </w:tr>
      <w:bookmarkEnd w:id="194"/>
    </w:tbl>
    <w:p w14:paraId="32B17E29" w14:textId="77777777" w:rsidR="009832C0" w:rsidRPr="00CD2F5C" w:rsidRDefault="009832C0" w:rsidP="002B0F75">
      <w:pPr>
        <w:spacing w:line="360" w:lineRule="auto"/>
        <w:rPr>
          <w:rFonts w:ascii="Cambria" w:eastAsia="Calibri" w:hAnsi="Cambria" w:cstheme="minorHAnsi"/>
          <w:b/>
          <w:sz w:val="24"/>
          <w:szCs w:val="24"/>
        </w:rPr>
      </w:pPr>
    </w:p>
    <w:p w14:paraId="5E41B466" w14:textId="77777777" w:rsidR="009832C0" w:rsidRPr="00CD2F5C" w:rsidRDefault="009832C0" w:rsidP="002B0F75">
      <w:pPr>
        <w:spacing w:line="360" w:lineRule="auto"/>
        <w:rPr>
          <w:rFonts w:ascii="Cambria" w:eastAsia="Calibri" w:hAnsi="Cambria" w:cstheme="minorHAnsi"/>
          <w:sz w:val="24"/>
          <w:szCs w:val="24"/>
        </w:rPr>
      </w:pPr>
      <w:r w:rsidRPr="00CD2F5C">
        <w:rPr>
          <w:rFonts w:ascii="Cambria" w:eastAsia="Calibri" w:hAnsi="Cambria" w:cstheme="minorHAnsi"/>
          <w:sz w:val="24"/>
          <w:szCs w:val="24"/>
        </w:rPr>
        <w:lastRenderedPageBreak/>
        <w:t>Based on the results from this logistic regression model, migraine prevalence (</w:t>
      </w:r>
      <w:bookmarkStart w:id="195" w:name="_Hlk104987760"/>
      <w:r w:rsidRPr="00CD2F5C">
        <w:rPr>
          <w:rFonts w:ascii="Cambria" w:eastAsia="Calibri" w:hAnsi="Cambria" w:cstheme="minorHAnsi"/>
          <w:sz w:val="24"/>
          <w:szCs w:val="24"/>
        </w:rPr>
        <w:t>Qclinic01a_16</w:t>
      </w:r>
      <w:bookmarkEnd w:id="195"/>
      <w:r w:rsidRPr="00CD2F5C">
        <w:rPr>
          <w:rFonts w:ascii="Cambria" w:eastAsia="Calibri" w:hAnsi="Cambria" w:cstheme="minorHAnsi"/>
          <w:sz w:val="24"/>
          <w:szCs w:val="24"/>
        </w:rPr>
        <w:t xml:space="preserve">) is significantly associated with anxiety prevalence. In the model, the odds ratio for migraine (yes) vs anxiety (no) is 0.412. Getting the inverse of the odds ratio (1/0.412 = 2.427), suggests the odds of having migraine increased almost 2.5 times among people who suffer from anxiety, versus those who do not, even with age and gender held constant.  </w:t>
      </w:r>
    </w:p>
    <w:p w14:paraId="19B28E2A" w14:textId="77777777" w:rsidR="009832C0" w:rsidRPr="00CD2F5C" w:rsidRDefault="009832C0" w:rsidP="002B0F75">
      <w:pPr>
        <w:spacing w:line="360" w:lineRule="auto"/>
        <w:rPr>
          <w:rFonts w:ascii="Cambria" w:hAnsi="Cambria" w:cstheme="minorHAnsi"/>
          <w:sz w:val="24"/>
          <w:szCs w:val="24"/>
        </w:rPr>
      </w:pPr>
      <w:r w:rsidRPr="00CD2F5C">
        <w:rPr>
          <w:rFonts w:ascii="Cambria" w:eastAsia="Calibri" w:hAnsi="Cambria" w:cstheme="minorHAnsi"/>
          <w:sz w:val="24"/>
          <w:szCs w:val="24"/>
        </w:rPr>
        <w:t>The reported gender covariate also emerged significant in the model, with odds ratio of 0.451. Getting the inverse of the odds ratio (1/0.451 = 2.217), and reversing our reference category to women, we can say that women have twice the odds of reporting migraine compared to men, with all the other variables held constant, highlighting a substantial burden for women in healthcare settings and general quality of life.</w:t>
      </w:r>
    </w:p>
    <w:p w14:paraId="7204A451"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Discussion</w:t>
      </w:r>
    </w:p>
    <w:p w14:paraId="3720A712" w14:textId="77777777" w:rsidR="009832C0" w:rsidRPr="00CD2F5C" w:rsidRDefault="009832C0" w:rsidP="002B0F75">
      <w:pPr>
        <w:spacing w:after="0" w:line="360" w:lineRule="auto"/>
        <w:rPr>
          <w:rFonts w:ascii="Cambria" w:hAnsi="Cambria" w:cstheme="minorHAnsi"/>
          <w:i/>
          <w:iCs/>
          <w:sz w:val="24"/>
          <w:szCs w:val="24"/>
        </w:rPr>
      </w:pPr>
      <w:r w:rsidRPr="00CD2F5C">
        <w:rPr>
          <w:rFonts w:ascii="Cambria" w:hAnsi="Cambria" w:cstheme="minorHAnsi"/>
          <w:sz w:val="24"/>
          <w:szCs w:val="24"/>
        </w:rPr>
        <w:t xml:space="preserve">There were some limitations to this study. </w:t>
      </w:r>
      <w:r w:rsidRPr="00CD2F5C">
        <w:rPr>
          <w:rFonts w:ascii="Cambria" w:hAnsi="Cambria" w:cstheme="minorHAnsi"/>
          <w:iCs/>
          <w:sz w:val="24"/>
          <w:szCs w:val="24"/>
        </w:rPr>
        <w:t>Weaknesses/Issues can occur with:</w:t>
      </w:r>
    </w:p>
    <w:p w14:paraId="7AB629E3" w14:textId="77777777" w:rsidR="009832C0" w:rsidRPr="00CD2F5C" w:rsidRDefault="009832C0" w:rsidP="002B0F75">
      <w:pPr>
        <w:numPr>
          <w:ilvl w:val="0"/>
          <w:numId w:val="47"/>
        </w:numPr>
        <w:spacing w:before="120" w:after="0" w:line="360" w:lineRule="auto"/>
        <w:rPr>
          <w:rFonts w:ascii="Cambria" w:hAnsi="Cambria" w:cstheme="minorHAnsi"/>
          <w:iCs/>
          <w:sz w:val="24"/>
          <w:szCs w:val="24"/>
        </w:rPr>
      </w:pPr>
      <w:r w:rsidRPr="00CD2F5C">
        <w:rPr>
          <w:rFonts w:ascii="Cambria" w:hAnsi="Cambria" w:cstheme="minorHAnsi"/>
          <w:iCs/>
          <w:sz w:val="24"/>
          <w:szCs w:val="24"/>
        </w:rPr>
        <w:t>Combining the findings of different countries, due to varied and different levels of comprehension across translated questioning, particularly in health-related terminology (such as more nuanced measures of pain)</w:t>
      </w:r>
    </w:p>
    <w:p w14:paraId="3971ED31" w14:textId="77777777" w:rsidR="009832C0" w:rsidRPr="00CD2F5C" w:rsidRDefault="009832C0" w:rsidP="002B0F75">
      <w:pPr>
        <w:numPr>
          <w:ilvl w:val="0"/>
          <w:numId w:val="47"/>
        </w:numPr>
        <w:spacing w:before="120" w:after="0" w:line="360" w:lineRule="auto"/>
        <w:rPr>
          <w:rFonts w:ascii="Cambria" w:hAnsi="Cambria" w:cstheme="minorHAnsi"/>
          <w:iCs/>
          <w:sz w:val="24"/>
          <w:szCs w:val="24"/>
        </w:rPr>
      </w:pPr>
      <w:r w:rsidRPr="00CD2F5C">
        <w:rPr>
          <w:rFonts w:ascii="Cambria" w:hAnsi="Cambria" w:cstheme="minorHAnsi"/>
          <w:iCs/>
          <w:sz w:val="24"/>
          <w:szCs w:val="24"/>
        </w:rPr>
        <w:t>Bias from the available literature relevant to this study. This occurs because researchers tend to publish studies that show a significant effect and may not take the time to write up negative findings.</w:t>
      </w:r>
    </w:p>
    <w:p w14:paraId="62A530DD" w14:textId="77777777" w:rsidR="009832C0" w:rsidRPr="00CD2F5C" w:rsidRDefault="009832C0" w:rsidP="002B0F75">
      <w:pPr>
        <w:spacing w:after="0" w:line="360" w:lineRule="auto"/>
        <w:rPr>
          <w:rFonts w:ascii="Cambria" w:hAnsi="Cambria" w:cstheme="minorHAnsi"/>
          <w:sz w:val="24"/>
          <w:szCs w:val="24"/>
        </w:rPr>
      </w:pPr>
    </w:p>
    <w:p w14:paraId="765073BC" w14:textId="77777777" w:rsidR="009832C0" w:rsidRPr="00CD2F5C" w:rsidRDefault="009832C0" w:rsidP="002B0F75">
      <w:pPr>
        <w:spacing w:after="0" w:line="360" w:lineRule="auto"/>
        <w:rPr>
          <w:rFonts w:ascii="Cambria" w:hAnsi="Cambria" w:cstheme="minorHAnsi"/>
          <w:sz w:val="24"/>
          <w:szCs w:val="24"/>
        </w:rPr>
      </w:pPr>
      <w:r w:rsidRPr="00CD2F5C">
        <w:rPr>
          <w:rFonts w:ascii="Cambria" w:hAnsi="Cambria" w:cstheme="minorHAnsi"/>
          <w:sz w:val="24"/>
          <w:szCs w:val="24"/>
        </w:rPr>
        <w:t>For the primary objective, the results were mixed. For overall health and emotional tension caused by pain, there was an association with anxiety diagnosis. However, the remaining three pain variables (Average Pain, Interference on Social Activity, and Interference on Enjoyment) were not statistically associated with anxiety. This was still included in the added covariates analysis, however, because it was deemed important to help contextualize the analysis results and to examine possible gender differences.</w:t>
      </w:r>
      <w:r w:rsidRPr="00CD2F5C" w:rsidDel="00EF7B41">
        <w:rPr>
          <w:rFonts w:ascii="Cambria" w:hAnsi="Cambria" w:cstheme="minorHAnsi"/>
          <w:sz w:val="24"/>
          <w:szCs w:val="24"/>
        </w:rPr>
        <w:t xml:space="preserve"> </w:t>
      </w:r>
    </w:p>
    <w:p w14:paraId="0774F141"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When examining migraine prevalence in those with or without anxiety, having migraine could indeed be inferred to have a relationship with concurrent anxiety diagnosis. This was </w:t>
      </w:r>
      <w:r w:rsidRPr="00CD2F5C">
        <w:rPr>
          <w:rFonts w:ascii="Cambria" w:hAnsi="Cambria" w:cstheme="minorHAnsi"/>
          <w:sz w:val="24"/>
          <w:szCs w:val="24"/>
        </w:rPr>
        <w:lastRenderedPageBreak/>
        <w:t xml:space="preserve">even stronger for patients reported as female. </w:t>
      </w:r>
      <w:bookmarkStart w:id="196" w:name="_Hlk27011015"/>
      <w:r w:rsidRPr="00CD2F5C">
        <w:rPr>
          <w:rFonts w:ascii="Cambria" w:hAnsi="Cambria" w:cstheme="minorHAnsi"/>
          <w:sz w:val="24"/>
          <w:szCs w:val="24"/>
        </w:rPr>
        <w:t xml:space="preserve">Overall, there were some inferable associations between pain experiences and anxiety, particularly when considering gender. </w:t>
      </w:r>
    </w:p>
    <w:bookmarkEnd w:id="196"/>
    <w:p w14:paraId="2C580B21"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Based on the logistic regression performed, Anxiety Diagnosis was statistically associated with two variables at the 95% confidence level (Emotional Tension and </w:t>
      </w:r>
      <w:proofErr w:type="gramStart"/>
      <w:r w:rsidRPr="00CD2F5C">
        <w:rPr>
          <w:rFonts w:ascii="Cambria" w:hAnsi="Cambria" w:cstheme="minorHAnsi"/>
          <w:sz w:val="24"/>
          <w:szCs w:val="24"/>
        </w:rPr>
        <w:t>Overall</w:t>
      </w:r>
      <w:proofErr w:type="gramEnd"/>
      <w:r w:rsidRPr="00CD2F5C">
        <w:rPr>
          <w:rFonts w:ascii="Cambria" w:hAnsi="Cambria" w:cstheme="minorHAnsi"/>
          <w:sz w:val="24"/>
          <w:szCs w:val="24"/>
        </w:rPr>
        <w:t xml:space="preserve"> Health), but not with the other three (Average Pain, Interference on Social Activity, and Interference on Enjoyment). This means that of the 5 independent variables, feeling emotionally tense due to pain had the most significant association with having anxiety. Overall health being better was correlated most strongly with not having anxiety.</w:t>
      </w:r>
    </w:p>
    <w:p w14:paraId="48AFB386"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For migraine, the odds of having migraine increased almost 2.5 times among people who suffer anxiety compared to those without, even when age and gender were held constant. While each analysis result addressed the research questions and objectives, not every variable was significant. Still, it felt important to include the non-significant variables in the follow-up covariates to further test for possible associations that may have existed when looking exclusively at age or gender.</w:t>
      </w:r>
    </w:p>
    <w:p w14:paraId="178700E9" w14:textId="77777777" w:rsidR="009832C0" w:rsidRPr="00CD2F5C" w:rsidRDefault="009832C0" w:rsidP="002B0F75">
      <w:pPr>
        <w:spacing w:line="360" w:lineRule="auto"/>
        <w:rPr>
          <w:rFonts w:ascii="Cambria" w:hAnsi="Cambria" w:cstheme="minorHAnsi"/>
          <w:sz w:val="24"/>
          <w:szCs w:val="24"/>
        </w:rPr>
      </w:pPr>
      <w:bookmarkStart w:id="197" w:name="_Hlk27007465"/>
      <w:r w:rsidRPr="00CD2F5C">
        <w:rPr>
          <w:rFonts w:ascii="Cambria" w:hAnsi="Cambria" w:cstheme="minorHAnsi"/>
          <w:sz w:val="24"/>
          <w:szCs w:val="24"/>
        </w:rPr>
        <w:t>These results provide useful insight into future research objectives, which could look more closely into the impact of anxious or emotional tension in the body and daily pain issues when making healthcare treatment decisions and in general patient screening. If pain impact has more to do with having anxiety than with the chronic pain itself, treatment approaches could shift dramatically based on this new information and better assessments could be implemented to address the issue more comprehensively; inclusive of anxiety and pain together as opposed to independently. In addition, migraine and anxiety could be examined for their association to chronic pain and patient quality of life. The noted differences in reported gender also highlight the need for treatment approaches to address the potential gender differences in experiencing and feeling pain</w:t>
      </w:r>
      <w:bookmarkEnd w:id="197"/>
      <w:r w:rsidRPr="00CD2F5C">
        <w:rPr>
          <w:rFonts w:ascii="Cambria" w:hAnsi="Cambria" w:cstheme="minorHAnsi"/>
          <w:sz w:val="24"/>
          <w:szCs w:val="24"/>
        </w:rPr>
        <w:t xml:space="preserve">. </w:t>
      </w:r>
    </w:p>
    <w:p w14:paraId="313AAD55"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Conclusions</w:t>
      </w:r>
    </w:p>
    <w:p w14:paraId="331862AE"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The results of this study highlight a need to examine the gender differences not only in pain experience, but also in the physical symptoms of anxiety. It is possible that the combination of migraine and anxiety diagnosis influence chronic pain interference in overall quality of life and health of patients presenting with pain. </w:t>
      </w:r>
    </w:p>
    <w:p w14:paraId="498E8E05" w14:textId="77777777" w:rsidR="009832C0" w:rsidRPr="00CD2F5C" w:rsidRDefault="009832C0" w:rsidP="002B0F75">
      <w:pPr>
        <w:spacing w:line="360" w:lineRule="auto"/>
        <w:rPr>
          <w:rFonts w:ascii="Cambria" w:hAnsi="Cambria" w:cstheme="minorHAnsi"/>
          <w:sz w:val="24"/>
          <w:szCs w:val="24"/>
        </w:rPr>
      </w:pPr>
    </w:p>
    <w:p w14:paraId="7CEB235D"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References</w:t>
      </w:r>
    </w:p>
    <w:p w14:paraId="63B8A6E9" w14:textId="77777777" w:rsidR="009832C0" w:rsidRPr="00CD2F5C" w:rsidRDefault="009832C0" w:rsidP="002B0F75">
      <w:pPr>
        <w:spacing w:line="360" w:lineRule="auto"/>
        <w:rPr>
          <w:rFonts w:ascii="Cambria" w:hAnsi="Cambria" w:cstheme="minorHAnsi"/>
          <w:sz w:val="24"/>
          <w:szCs w:val="24"/>
        </w:rPr>
      </w:pPr>
      <w:proofErr w:type="spellStart"/>
      <w:r w:rsidRPr="00CD2F5C">
        <w:rPr>
          <w:rFonts w:ascii="Cambria" w:hAnsi="Cambria" w:cstheme="minorHAnsi"/>
          <w:sz w:val="24"/>
          <w:szCs w:val="24"/>
        </w:rPr>
        <w:t>Braksmajer</w:t>
      </w:r>
      <w:proofErr w:type="spellEnd"/>
      <w:r w:rsidRPr="00CD2F5C">
        <w:rPr>
          <w:rFonts w:ascii="Cambria" w:hAnsi="Cambria" w:cstheme="minorHAnsi"/>
          <w:sz w:val="24"/>
          <w:szCs w:val="24"/>
        </w:rPr>
        <w:t xml:space="preserve"> A. (2018) Struggles for medical legitimacy among women experiencing sexual pain: A qualitative study. </w:t>
      </w:r>
      <w:r w:rsidRPr="00CD2F5C">
        <w:rPr>
          <w:rFonts w:ascii="Cambria" w:hAnsi="Cambria" w:cstheme="minorHAnsi"/>
          <w:i/>
          <w:iCs/>
          <w:sz w:val="24"/>
          <w:szCs w:val="24"/>
        </w:rPr>
        <w:t>Women Health</w:t>
      </w:r>
      <w:r w:rsidRPr="00CD2F5C">
        <w:rPr>
          <w:rFonts w:ascii="Cambria" w:hAnsi="Cambria" w:cstheme="minorHAnsi"/>
          <w:sz w:val="24"/>
          <w:szCs w:val="24"/>
        </w:rPr>
        <w:t xml:space="preserve">. Apr;58(4):419-433. </w:t>
      </w:r>
      <w:proofErr w:type="spellStart"/>
      <w:r w:rsidRPr="00CD2F5C">
        <w:rPr>
          <w:rFonts w:ascii="Cambria" w:hAnsi="Cambria" w:cstheme="minorHAnsi"/>
          <w:sz w:val="24"/>
          <w:szCs w:val="24"/>
        </w:rPr>
        <w:t>doi</w:t>
      </w:r>
      <w:proofErr w:type="spellEnd"/>
      <w:r w:rsidRPr="00CD2F5C">
        <w:rPr>
          <w:rFonts w:ascii="Cambria" w:hAnsi="Cambria" w:cstheme="minorHAnsi"/>
          <w:sz w:val="24"/>
          <w:szCs w:val="24"/>
        </w:rPr>
        <w:t>: 10.1080/03630242.2017.1306606.</w:t>
      </w:r>
    </w:p>
    <w:p w14:paraId="3DE829DD"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Brown, R. C., Plener, P. L., </w:t>
      </w:r>
      <w:proofErr w:type="spellStart"/>
      <w:r w:rsidRPr="00CD2F5C">
        <w:rPr>
          <w:rFonts w:ascii="Cambria" w:hAnsi="Cambria" w:cstheme="minorHAnsi"/>
          <w:sz w:val="24"/>
          <w:szCs w:val="24"/>
        </w:rPr>
        <w:t>Braehler</w:t>
      </w:r>
      <w:proofErr w:type="spellEnd"/>
      <w:r w:rsidRPr="00CD2F5C">
        <w:rPr>
          <w:rFonts w:ascii="Cambria" w:hAnsi="Cambria" w:cstheme="minorHAnsi"/>
          <w:sz w:val="24"/>
          <w:szCs w:val="24"/>
        </w:rPr>
        <w:t>, E., Fegert, J. M., &amp; Huber-Lang, M. (2018). Associations of adverse childhood experiences and bullying on physical pain in the general population of Germany. </w:t>
      </w:r>
      <w:r w:rsidRPr="00CD2F5C">
        <w:rPr>
          <w:rFonts w:ascii="Cambria" w:hAnsi="Cambria" w:cstheme="minorHAnsi"/>
          <w:i/>
          <w:iCs/>
          <w:sz w:val="24"/>
          <w:szCs w:val="24"/>
        </w:rPr>
        <w:t>Journal of pain research</w:t>
      </w:r>
      <w:r w:rsidRPr="00CD2F5C">
        <w:rPr>
          <w:rFonts w:ascii="Cambria" w:hAnsi="Cambria" w:cstheme="minorHAnsi"/>
          <w:sz w:val="24"/>
          <w:szCs w:val="24"/>
        </w:rPr>
        <w:t>, </w:t>
      </w:r>
      <w:r w:rsidRPr="00CD2F5C">
        <w:rPr>
          <w:rFonts w:ascii="Cambria" w:hAnsi="Cambria" w:cstheme="minorHAnsi"/>
          <w:i/>
          <w:iCs/>
          <w:sz w:val="24"/>
          <w:szCs w:val="24"/>
        </w:rPr>
        <w:t>11</w:t>
      </w:r>
      <w:r w:rsidRPr="00CD2F5C">
        <w:rPr>
          <w:rFonts w:ascii="Cambria" w:hAnsi="Cambria" w:cstheme="minorHAnsi"/>
          <w:sz w:val="24"/>
          <w:szCs w:val="24"/>
        </w:rPr>
        <w:t>, 3099–3108. doi:10.2147/JPR.S169135</w:t>
      </w:r>
    </w:p>
    <w:p w14:paraId="0E9AC85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Capobianco, </w:t>
      </w:r>
      <w:proofErr w:type="gramStart"/>
      <w:r w:rsidRPr="00CD2F5C">
        <w:rPr>
          <w:rFonts w:ascii="Cambria" w:hAnsi="Cambria" w:cstheme="minorHAnsi"/>
          <w:sz w:val="24"/>
          <w:szCs w:val="24"/>
        </w:rPr>
        <w:t>A. ,</w:t>
      </w:r>
      <w:proofErr w:type="gramEnd"/>
      <w:r w:rsidRPr="00CD2F5C">
        <w:rPr>
          <w:rFonts w:ascii="Cambria" w:hAnsi="Cambria" w:cstheme="minorHAnsi"/>
          <w:sz w:val="24"/>
          <w:szCs w:val="24"/>
        </w:rPr>
        <w:t xml:space="preserve"> Cottone, L. , </w:t>
      </w:r>
      <w:proofErr w:type="spellStart"/>
      <w:r w:rsidRPr="00CD2F5C">
        <w:rPr>
          <w:rFonts w:ascii="Cambria" w:hAnsi="Cambria" w:cstheme="minorHAnsi"/>
          <w:sz w:val="24"/>
          <w:szCs w:val="24"/>
        </w:rPr>
        <w:t>Monno</w:t>
      </w:r>
      <w:proofErr w:type="spellEnd"/>
      <w:r w:rsidRPr="00CD2F5C">
        <w:rPr>
          <w:rFonts w:ascii="Cambria" w:hAnsi="Cambria" w:cstheme="minorHAnsi"/>
          <w:sz w:val="24"/>
          <w:szCs w:val="24"/>
        </w:rPr>
        <w:t>, A. , Manfredi, A. A. and Rovere‐</w:t>
      </w:r>
      <w:proofErr w:type="spellStart"/>
      <w:r w:rsidRPr="00CD2F5C">
        <w:rPr>
          <w:rFonts w:ascii="Cambria" w:hAnsi="Cambria" w:cstheme="minorHAnsi"/>
          <w:sz w:val="24"/>
          <w:szCs w:val="24"/>
        </w:rPr>
        <w:t>Querini</w:t>
      </w:r>
      <w:proofErr w:type="spellEnd"/>
      <w:r w:rsidRPr="00CD2F5C">
        <w:rPr>
          <w:rFonts w:ascii="Cambria" w:hAnsi="Cambria" w:cstheme="minorHAnsi"/>
          <w:sz w:val="24"/>
          <w:szCs w:val="24"/>
        </w:rPr>
        <w:t>, P. (2017), The peritoneum: healing, immunity, and diseases</w:t>
      </w:r>
      <w:r w:rsidRPr="00CD2F5C">
        <w:rPr>
          <w:rFonts w:ascii="Cambria" w:hAnsi="Cambria" w:cstheme="minorHAnsi"/>
          <w:i/>
          <w:sz w:val="24"/>
          <w:szCs w:val="24"/>
        </w:rPr>
        <w:t>. Journal of Pathology</w:t>
      </w:r>
      <w:r w:rsidRPr="00CD2F5C">
        <w:rPr>
          <w:rFonts w:ascii="Cambria" w:hAnsi="Cambria" w:cstheme="minorHAnsi"/>
          <w:sz w:val="24"/>
          <w:szCs w:val="24"/>
        </w:rPr>
        <w:t>, 243: 137-147. doi:10.1002/path.4942</w:t>
      </w:r>
    </w:p>
    <w:p w14:paraId="6305AA1E"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Cella, David. (2017) "PROMIS Profiles-HUI data", https://doi.org/10.7910/DVN/P7UKWR, Harvard Dataverse, V1 </w:t>
      </w:r>
    </w:p>
    <w:p w14:paraId="6B5C3748" w14:textId="77777777" w:rsidR="009832C0" w:rsidRPr="00CD2F5C" w:rsidRDefault="009832C0" w:rsidP="002B0F75">
      <w:pPr>
        <w:spacing w:line="360" w:lineRule="auto"/>
        <w:rPr>
          <w:rFonts w:ascii="Cambria" w:hAnsi="Cambria" w:cstheme="minorHAnsi"/>
          <w:sz w:val="24"/>
          <w:szCs w:val="24"/>
        </w:rPr>
      </w:pPr>
      <w:proofErr w:type="spellStart"/>
      <w:r w:rsidRPr="00CD2F5C">
        <w:rPr>
          <w:rFonts w:ascii="Cambria" w:hAnsi="Cambria" w:cstheme="minorHAnsi"/>
          <w:sz w:val="24"/>
          <w:szCs w:val="24"/>
        </w:rPr>
        <w:t>Crocq</w:t>
      </w:r>
      <w:proofErr w:type="spellEnd"/>
      <w:r w:rsidRPr="00CD2F5C">
        <w:rPr>
          <w:rFonts w:ascii="Cambria" w:hAnsi="Cambria" w:cstheme="minorHAnsi"/>
          <w:sz w:val="24"/>
          <w:szCs w:val="24"/>
        </w:rPr>
        <w:t xml:space="preserve"> M. A. (2015) A history of anxiety: from Hippocrates to DSM. </w:t>
      </w:r>
      <w:r w:rsidRPr="00CD2F5C">
        <w:rPr>
          <w:rFonts w:ascii="Cambria" w:hAnsi="Cambria" w:cstheme="minorHAnsi"/>
          <w:i/>
          <w:sz w:val="24"/>
          <w:szCs w:val="24"/>
        </w:rPr>
        <w:t>Dialogues in clinical neuroscience,</w:t>
      </w:r>
      <w:r w:rsidRPr="00CD2F5C">
        <w:rPr>
          <w:rFonts w:ascii="Cambria" w:hAnsi="Cambria" w:cstheme="minorHAnsi"/>
          <w:sz w:val="24"/>
          <w:szCs w:val="24"/>
        </w:rPr>
        <w:t xml:space="preserve"> 17(3), 319–325.</w:t>
      </w:r>
    </w:p>
    <w:p w14:paraId="4BC1C50F" w14:textId="77777777" w:rsidR="009832C0" w:rsidRPr="00CD2F5C" w:rsidRDefault="009832C0" w:rsidP="002B0F75">
      <w:pPr>
        <w:spacing w:line="360" w:lineRule="auto"/>
        <w:rPr>
          <w:rFonts w:ascii="Cambria" w:hAnsi="Cambria" w:cstheme="minorHAnsi"/>
          <w:i/>
          <w:sz w:val="24"/>
          <w:szCs w:val="24"/>
        </w:rPr>
      </w:pPr>
      <w:r w:rsidRPr="00CD2F5C">
        <w:rPr>
          <w:rFonts w:ascii="Cambria" w:hAnsi="Cambria" w:cstheme="minorHAnsi"/>
          <w:iCs/>
          <w:sz w:val="24"/>
          <w:szCs w:val="24"/>
        </w:rPr>
        <w:t>Diagnostic and Statistical Manual of Mental Disorders (2013).</w:t>
      </w:r>
      <w:r w:rsidRPr="00CD2F5C">
        <w:rPr>
          <w:rFonts w:ascii="Cambria" w:hAnsi="Cambria" w:cstheme="minorHAnsi"/>
          <w:sz w:val="24"/>
          <w:szCs w:val="24"/>
        </w:rPr>
        <w:t xml:space="preserve"> 5th ed. Arlington, VA: </w:t>
      </w:r>
      <w:r w:rsidRPr="00CD2F5C">
        <w:rPr>
          <w:rFonts w:ascii="Cambria" w:hAnsi="Cambria" w:cstheme="minorHAnsi"/>
          <w:i/>
          <w:sz w:val="24"/>
          <w:szCs w:val="24"/>
        </w:rPr>
        <w:t>American Psychiatric Association.</w:t>
      </w:r>
    </w:p>
    <w:p w14:paraId="63B1ACAF"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Du, H. X., Chen, X. G., Zhang, L., Liu, Y., Zhan, C. S., Chen, J., … Liang, C. Z. (2019) Microglial activation and neurobiological alterations in experimental autoimmune prostatitis-induced depressive-like </w:t>
      </w:r>
      <w:proofErr w:type="spellStart"/>
      <w:r w:rsidRPr="00CD2F5C">
        <w:rPr>
          <w:rFonts w:ascii="Cambria" w:hAnsi="Cambria" w:cstheme="minorHAnsi"/>
          <w:sz w:val="24"/>
          <w:szCs w:val="24"/>
        </w:rPr>
        <w:t>behavior</w:t>
      </w:r>
      <w:proofErr w:type="spellEnd"/>
      <w:r w:rsidRPr="00CD2F5C">
        <w:rPr>
          <w:rFonts w:ascii="Cambria" w:hAnsi="Cambria" w:cstheme="minorHAnsi"/>
          <w:sz w:val="24"/>
          <w:szCs w:val="24"/>
        </w:rPr>
        <w:t xml:space="preserve"> in mice. </w:t>
      </w:r>
      <w:r w:rsidRPr="00CD2F5C">
        <w:rPr>
          <w:rFonts w:ascii="Cambria" w:hAnsi="Cambria" w:cstheme="minorHAnsi"/>
          <w:i/>
          <w:iCs/>
          <w:sz w:val="24"/>
          <w:szCs w:val="24"/>
        </w:rPr>
        <w:t>Neuropsychiatric disease and treatment</w:t>
      </w:r>
      <w:r w:rsidRPr="00CD2F5C">
        <w:rPr>
          <w:rFonts w:ascii="Cambria" w:hAnsi="Cambria" w:cstheme="minorHAnsi"/>
          <w:sz w:val="24"/>
          <w:szCs w:val="24"/>
        </w:rPr>
        <w:t>, </w:t>
      </w:r>
      <w:r w:rsidRPr="00CD2F5C">
        <w:rPr>
          <w:rFonts w:ascii="Cambria" w:hAnsi="Cambria" w:cstheme="minorHAnsi"/>
          <w:i/>
          <w:iCs/>
          <w:sz w:val="24"/>
          <w:szCs w:val="24"/>
        </w:rPr>
        <w:t>15</w:t>
      </w:r>
      <w:r w:rsidRPr="00CD2F5C">
        <w:rPr>
          <w:rFonts w:ascii="Cambria" w:hAnsi="Cambria" w:cstheme="minorHAnsi"/>
          <w:sz w:val="24"/>
          <w:szCs w:val="24"/>
        </w:rPr>
        <w:t xml:space="preserve">, 2231–2245. doi:10.2147/NDT.S211288 </w:t>
      </w:r>
    </w:p>
    <w:p w14:paraId="323AA66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Gentili, C., Rickardsson, J., </w:t>
      </w:r>
      <w:proofErr w:type="spellStart"/>
      <w:r w:rsidRPr="00CD2F5C">
        <w:rPr>
          <w:rFonts w:ascii="Cambria" w:hAnsi="Cambria" w:cstheme="minorHAnsi"/>
          <w:sz w:val="24"/>
          <w:szCs w:val="24"/>
        </w:rPr>
        <w:t>Zetterqvist</w:t>
      </w:r>
      <w:proofErr w:type="spellEnd"/>
      <w:r w:rsidRPr="00CD2F5C">
        <w:rPr>
          <w:rFonts w:ascii="Cambria" w:hAnsi="Cambria" w:cstheme="minorHAnsi"/>
          <w:sz w:val="24"/>
          <w:szCs w:val="24"/>
        </w:rPr>
        <w:t xml:space="preserve">, V., Simons, L. E., Lekander, M., &amp; Wicksell, R. K. (2019) Psychological Flexibility as a Resilience Factor in Individuals with Chronic Pain. </w:t>
      </w:r>
      <w:r w:rsidRPr="00CD2F5C">
        <w:rPr>
          <w:rFonts w:ascii="Cambria" w:hAnsi="Cambria" w:cstheme="minorHAnsi"/>
          <w:i/>
          <w:sz w:val="24"/>
          <w:szCs w:val="24"/>
        </w:rPr>
        <w:t>Frontiers in psychology</w:t>
      </w:r>
      <w:r w:rsidRPr="00CD2F5C">
        <w:rPr>
          <w:rFonts w:ascii="Cambria" w:hAnsi="Cambria" w:cstheme="minorHAnsi"/>
          <w:sz w:val="24"/>
          <w:szCs w:val="24"/>
        </w:rPr>
        <w:t xml:space="preserve">, 10, 2016. doi:10.3389/fpsyg.2019.02016  </w:t>
      </w:r>
    </w:p>
    <w:p w14:paraId="0F0F1F7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Gu, Damin, Zhou, </w:t>
      </w:r>
      <w:proofErr w:type="spellStart"/>
      <w:r w:rsidRPr="00CD2F5C">
        <w:rPr>
          <w:rFonts w:ascii="Cambria" w:hAnsi="Cambria" w:cstheme="minorHAnsi"/>
          <w:sz w:val="24"/>
          <w:szCs w:val="24"/>
        </w:rPr>
        <w:t>Minmin</w:t>
      </w:r>
      <w:proofErr w:type="spellEnd"/>
      <w:r w:rsidRPr="00CD2F5C">
        <w:rPr>
          <w:rFonts w:ascii="Cambria" w:hAnsi="Cambria" w:cstheme="minorHAnsi"/>
          <w:sz w:val="24"/>
          <w:szCs w:val="24"/>
        </w:rPr>
        <w:t xml:space="preserve">, Han, Chao, Lei, </w:t>
      </w:r>
      <w:proofErr w:type="spellStart"/>
      <w:r w:rsidRPr="00CD2F5C">
        <w:rPr>
          <w:rFonts w:ascii="Cambria" w:hAnsi="Cambria" w:cstheme="minorHAnsi"/>
          <w:sz w:val="24"/>
          <w:szCs w:val="24"/>
        </w:rPr>
        <w:t>Daoyun</w:t>
      </w:r>
      <w:proofErr w:type="spellEnd"/>
      <w:r w:rsidRPr="00CD2F5C">
        <w:rPr>
          <w:rFonts w:ascii="Cambria" w:hAnsi="Cambria" w:cstheme="minorHAnsi"/>
          <w:sz w:val="24"/>
          <w:szCs w:val="24"/>
        </w:rPr>
        <w:t xml:space="preserve">, Xie, </w:t>
      </w:r>
      <w:proofErr w:type="spellStart"/>
      <w:r w:rsidRPr="00CD2F5C">
        <w:rPr>
          <w:rFonts w:ascii="Cambria" w:hAnsi="Cambria" w:cstheme="minorHAnsi"/>
          <w:sz w:val="24"/>
          <w:szCs w:val="24"/>
        </w:rPr>
        <w:t>Songhui</w:t>
      </w:r>
      <w:proofErr w:type="spellEnd"/>
      <w:r w:rsidRPr="00CD2F5C">
        <w:rPr>
          <w:rFonts w:ascii="Cambria" w:hAnsi="Cambria" w:cstheme="minorHAnsi"/>
          <w:sz w:val="24"/>
          <w:szCs w:val="24"/>
        </w:rPr>
        <w:t xml:space="preserve">, Yuan, </w:t>
      </w:r>
      <w:proofErr w:type="spellStart"/>
      <w:r w:rsidRPr="00CD2F5C">
        <w:rPr>
          <w:rFonts w:ascii="Cambria" w:hAnsi="Cambria" w:cstheme="minorHAnsi"/>
          <w:sz w:val="24"/>
          <w:szCs w:val="24"/>
        </w:rPr>
        <w:t>Yanbo</w:t>
      </w:r>
      <w:proofErr w:type="spellEnd"/>
      <w:r w:rsidRPr="00CD2F5C">
        <w:rPr>
          <w:rFonts w:ascii="Cambria" w:hAnsi="Cambria" w:cstheme="minorHAnsi"/>
          <w:sz w:val="24"/>
          <w:szCs w:val="24"/>
        </w:rPr>
        <w:t xml:space="preserve">, &amp; Ma, </w:t>
      </w:r>
      <w:proofErr w:type="spellStart"/>
      <w:r w:rsidRPr="00CD2F5C">
        <w:rPr>
          <w:rFonts w:ascii="Cambria" w:hAnsi="Cambria" w:cstheme="minorHAnsi"/>
          <w:sz w:val="24"/>
          <w:szCs w:val="24"/>
        </w:rPr>
        <w:t>Tieliang</w:t>
      </w:r>
      <w:proofErr w:type="spellEnd"/>
      <w:r w:rsidRPr="00CD2F5C">
        <w:rPr>
          <w:rFonts w:ascii="Cambria" w:hAnsi="Cambria" w:cstheme="minorHAnsi"/>
          <w:sz w:val="24"/>
          <w:szCs w:val="24"/>
        </w:rPr>
        <w:t xml:space="preserve">. (2019) Preoperative anxiety induces chronic postoperative pain by activating astrocytes in </w:t>
      </w:r>
      <w:r w:rsidRPr="00CD2F5C">
        <w:rPr>
          <w:rFonts w:ascii="Cambria" w:hAnsi="Cambria" w:cstheme="minorHAnsi"/>
          <w:sz w:val="24"/>
          <w:szCs w:val="24"/>
        </w:rPr>
        <w:lastRenderedPageBreak/>
        <w:t xml:space="preserve">the anterior cingulate cortex region. </w:t>
      </w:r>
      <w:proofErr w:type="spellStart"/>
      <w:r w:rsidRPr="00CD2F5C">
        <w:rPr>
          <w:rFonts w:ascii="Cambria" w:hAnsi="Cambria" w:cstheme="minorHAnsi"/>
          <w:i/>
          <w:sz w:val="24"/>
          <w:szCs w:val="24"/>
        </w:rPr>
        <w:t>Revista</w:t>
      </w:r>
      <w:proofErr w:type="spellEnd"/>
      <w:r w:rsidRPr="00CD2F5C">
        <w:rPr>
          <w:rFonts w:ascii="Cambria" w:hAnsi="Cambria" w:cstheme="minorHAnsi"/>
          <w:i/>
          <w:sz w:val="24"/>
          <w:szCs w:val="24"/>
        </w:rPr>
        <w:t xml:space="preserve"> da </w:t>
      </w:r>
      <w:proofErr w:type="spellStart"/>
      <w:r w:rsidRPr="00CD2F5C">
        <w:rPr>
          <w:rFonts w:ascii="Cambria" w:hAnsi="Cambria" w:cstheme="minorHAnsi"/>
          <w:i/>
          <w:sz w:val="24"/>
          <w:szCs w:val="24"/>
        </w:rPr>
        <w:t>Associação</w:t>
      </w:r>
      <w:proofErr w:type="spellEnd"/>
      <w:r w:rsidRPr="00CD2F5C">
        <w:rPr>
          <w:rFonts w:ascii="Cambria" w:hAnsi="Cambria" w:cstheme="minorHAnsi"/>
          <w:i/>
          <w:sz w:val="24"/>
          <w:szCs w:val="24"/>
        </w:rPr>
        <w:t xml:space="preserve"> </w:t>
      </w:r>
      <w:proofErr w:type="spellStart"/>
      <w:r w:rsidRPr="00CD2F5C">
        <w:rPr>
          <w:rFonts w:ascii="Cambria" w:hAnsi="Cambria" w:cstheme="minorHAnsi"/>
          <w:i/>
          <w:sz w:val="24"/>
          <w:szCs w:val="24"/>
        </w:rPr>
        <w:t>Médica</w:t>
      </w:r>
      <w:proofErr w:type="spellEnd"/>
      <w:r w:rsidRPr="00CD2F5C">
        <w:rPr>
          <w:rFonts w:ascii="Cambria" w:hAnsi="Cambria" w:cstheme="minorHAnsi"/>
          <w:i/>
          <w:sz w:val="24"/>
          <w:szCs w:val="24"/>
        </w:rPr>
        <w:t xml:space="preserve"> Brasileira, 65(9), 1174-1180</w:t>
      </w:r>
      <w:r w:rsidRPr="00CD2F5C">
        <w:rPr>
          <w:rFonts w:ascii="Cambria" w:hAnsi="Cambria" w:cstheme="minorHAnsi"/>
          <w:sz w:val="24"/>
          <w:szCs w:val="24"/>
        </w:rPr>
        <w:t xml:space="preserve">. </w:t>
      </w:r>
      <w:proofErr w:type="spellStart"/>
      <w:r w:rsidRPr="00CD2F5C">
        <w:rPr>
          <w:rFonts w:ascii="Cambria" w:hAnsi="Cambria" w:cstheme="minorHAnsi"/>
          <w:sz w:val="24"/>
          <w:szCs w:val="24"/>
        </w:rPr>
        <w:t>Epub</w:t>
      </w:r>
      <w:proofErr w:type="spellEnd"/>
      <w:r w:rsidRPr="00CD2F5C">
        <w:rPr>
          <w:rFonts w:ascii="Cambria" w:hAnsi="Cambria" w:cstheme="minorHAnsi"/>
          <w:sz w:val="24"/>
          <w:szCs w:val="24"/>
        </w:rPr>
        <w:t xml:space="preserve"> October 10, 2019. </w:t>
      </w:r>
      <w:hyperlink r:id="rId157" w:history="1">
        <w:r w:rsidRPr="00CD2F5C">
          <w:rPr>
            <w:rStyle w:val="Hyperlink"/>
            <w:rFonts w:ascii="Cambria" w:hAnsi="Cambria" w:cstheme="minorHAnsi"/>
            <w:sz w:val="24"/>
            <w:szCs w:val="24"/>
          </w:rPr>
          <w:t>https://dx.doi.org/10.1590/1806-9282.65.9.1174</w:t>
        </w:r>
      </w:hyperlink>
      <w:r w:rsidRPr="00CD2F5C">
        <w:rPr>
          <w:rFonts w:ascii="Cambria" w:hAnsi="Cambria" w:cstheme="minorHAnsi"/>
          <w:sz w:val="24"/>
          <w:szCs w:val="24"/>
        </w:rPr>
        <w:t xml:space="preserve">  </w:t>
      </w:r>
    </w:p>
    <w:p w14:paraId="5237658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Harvie, D., Broeker, M., Smith, R., </w:t>
      </w:r>
      <w:proofErr w:type="spellStart"/>
      <w:r w:rsidRPr="00CD2F5C">
        <w:rPr>
          <w:rFonts w:ascii="Cambria" w:hAnsi="Cambria" w:cstheme="minorHAnsi"/>
          <w:sz w:val="24"/>
          <w:szCs w:val="24"/>
        </w:rPr>
        <w:t>Meulders</w:t>
      </w:r>
      <w:proofErr w:type="spellEnd"/>
      <w:r w:rsidRPr="00CD2F5C">
        <w:rPr>
          <w:rFonts w:ascii="Cambria" w:hAnsi="Cambria" w:cstheme="minorHAnsi"/>
          <w:sz w:val="24"/>
          <w:szCs w:val="24"/>
        </w:rPr>
        <w:t xml:space="preserve">, A., Madden, J., &amp; Moseley, G.L. (2014) Bogus visual feedback alters movement-evoked pain onset in people with neck pain. </w:t>
      </w:r>
      <w:r w:rsidRPr="00CD2F5C">
        <w:rPr>
          <w:rFonts w:ascii="Cambria" w:hAnsi="Cambria" w:cstheme="minorHAnsi"/>
          <w:i/>
          <w:sz w:val="24"/>
          <w:szCs w:val="24"/>
        </w:rPr>
        <w:t>Psychological science.</w:t>
      </w:r>
      <w:r w:rsidRPr="00CD2F5C">
        <w:rPr>
          <w:rFonts w:ascii="Cambria" w:hAnsi="Cambria" w:cstheme="minorHAnsi"/>
          <w:sz w:val="24"/>
          <w:szCs w:val="24"/>
        </w:rPr>
        <w:t xml:space="preserve"> 26(4):385-92. </w:t>
      </w:r>
      <w:hyperlink r:id="rId158" w:history="1">
        <w:r w:rsidRPr="00CD2F5C">
          <w:rPr>
            <w:rStyle w:val="Hyperlink"/>
            <w:rFonts w:ascii="Cambria" w:hAnsi="Cambria" w:cstheme="minorHAnsi"/>
            <w:sz w:val="24"/>
            <w:szCs w:val="24"/>
          </w:rPr>
          <w:t>https://doi.org/10.1177%2F0956797614563339</w:t>
        </w:r>
      </w:hyperlink>
      <w:r w:rsidRPr="00CD2F5C">
        <w:rPr>
          <w:rFonts w:ascii="Cambria" w:hAnsi="Cambria" w:cstheme="minorHAnsi"/>
          <w:sz w:val="24"/>
          <w:szCs w:val="24"/>
        </w:rPr>
        <w:t xml:space="preserve"> </w:t>
      </w:r>
    </w:p>
    <w:p w14:paraId="323F06EC" w14:textId="77777777" w:rsidR="009832C0" w:rsidRPr="00CD2F5C" w:rsidRDefault="009832C0" w:rsidP="002B0F75">
      <w:pPr>
        <w:spacing w:line="360" w:lineRule="auto"/>
        <w:rPr>
          <w:rStyle w:val="Hyperlink"/>
          <w:rFonts w:ascii="Cambria" w:hAnsi="Cambria" w:cstheme="minorHAnsi"/>
          <w:sz w:val="24"/>
          <w:szCs w:val="24"/>
        </w:rPr>
      </w:pPr>
      <w:r w:rsidRPr="00CD2F5C">
        <w:rPr>
          <w:rFonts w:ascii="Cambria" w:hAnsi="Cambria" w:cstheme="minorHAnsi"/>
          <w:sz w:val="24"/>
          <w:szCs w:val="24"/>
        </w:rPr>
        <w:t xml:space="preserve">Hays, Ron D., et al. (2016) Using Linear Equating to Map PROMIS® Global Health Items and the PROMIS-29 V2.0 Profile Measure to the Health Utilities Index Mark 3. </w:t>
      </w:r>
      <w:proofErr w:type="spellStart"/>
      <w:r w:rsidRPr="00CD2F5C">
        <w:rPr>
          <w:rFonts w:ascii="Cambria" w:hAnsi="Cambria" w:cstheme="minorHAnsi"/>
          <w:i/>
          <w:sz w:val="24"/>
          <w:szCs w:val="24"/>
        </w:rPr>
        <w:t>PharmacoEconomics</w:t>
      </w:r>
      <w:proofErr w:type="spellEnd"/>
      <w:r w:rsidRPr="00CD2F5C">
        <w:rPr>
          <w:rFonts w:ascii="Cambria" w:hAnsi="Cambria" w:cstheme="minorHAnsi"/>
          <w:i/>
          <w:sz w:val="24"/>
          <w:szCs w:val="24"/>
        </w:rPr>
        <w:t xml:space="preserve"> </w:t>
      </w:r>
      <w:r w:rsidRPr="00CD2F5C">
        <w:rPr>
          <w:rFonts w:ascii="Cambria" w:hAnsi="Cambria" w:cstheme="minorHAnsi"/>
          <w:sz w:val="24"/>
          <w:szCs w:val="24"/>
        </w:rPr>
        <w:t>34.10: 1015-1022. </w:t>
      </w:r>
      <w:proofErr w:type="spellStart"/>
      <w:r>
        <w:fldChar w:fldCharType="begin"/>
      </w:r>
      <w:r>
        <w:instrText>HYPERLINK "https://www.ncbi.nlm.nih.gov/pubmed/27116613" \t "_blank" \o "https://www.ncbi.nlm.nih.gov/pubmed/27116613"</w:instrText>
      </w:r>
      <w:r>
        <w:fldChar w:fldCharType="separate"/>
      </w:r>
      <w:r w:rsidRPr="00CD2F5C">
        <w:rPr>
          <w:rStyle w:val="Hyperlink"/>
          <w:rFonts w:ascii="Cambria" w:hAnsi="Cambria" w:cstheme="minorHAnsi"/>
          <w:sz w:val="24"/>
          <w:szCs w:val="24"/>
        </w:rPr>
        <w:t>doi</w:t>
      </w:r>
      <w:proofErr w:type="spellEnd"/>
      <w:r w:rsidRPr="00CD2F5C">
        <w:rPr>
          <w:rStyle w:val="Hyperlink"/>
          <w:rFonts w:ascii="Cambria" w:hAnsi="Cambria" w:cstheme="minorHAnsi"/>
          <w:sz w:val="24"/>
          <w:szCs w:val="24"/>
        </w:rPr>
        <w:t>: 10.1007/s40273-016-0408-x</w:t>
      </w:r>
      <w:r>
        <w:rPr>
          <w:rStyle w:val="Hyperlink"/>
          <w:rFonts w:ascii="Cambria" w:hAnsi="Cambria" w:cstheme="minorHAnsi"/>
          <w:sz w:val="24"/>
          <w:szCs w:val="24"/>
        </w:rPr>
        <w:fldChar w:fldCharType="end"/>
      </w:r>
    </w:p>
    <w:p w14:paraId="36F95085"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Muraleetharan D, </w:t>
      </w:r>
      <w:proofErr w:type="spellStart"/>
      <w:r w:rsidRPr="00CD2F5C">
        <w:rPr>
          <w:rFonts w:ascii="Cambria" w:hAnsi="Cambria" w:cstheme="minorHAnsi"/>
          <w:sz w:val="24"/>
          <w:szCs w:val="24"/>
        </w:rPr>
        <w:t>Fadich</w:t>
      </w:r>
      <w:proofErr w:type="spellEnd"/>
      <w:r w:rsidRPr="00CD2F5C">
        <w:rPr>
          <w:rFonts w:ascii="Cambria" w:hAnsi="Cambria" w:cstheme="minorHAnsi"/>
          <w:sz w:val="24"/>
          <w:szCs w:val="24"/>
        </w:rPr>
        <w:t xml:space="preserve"> A, Stephenson C, Garney W. (2018) Understanding the Impact of Fibromyalgia on Men: Findings </w:t>
      </w:r>
      <w:proofErr w:type="gramStart"/>
      <w:r w:rsidRPr="00CD2F5C">
        <w:rPr>
          <w:rFonts w:ascii="Cambria" w:hAnsi="Cambria" w:cstheme="minorHAnsi"/>
          <w:sz w:val="24"/>
          <w:szCs w:val="24"/>
        </w:rPr>
        <w:t>From</w:t>
      </w:r>
      <w:proofErr w:type="gramEnd"/>
      <w:r w:rsidRPr="00CD2F5C">
        <w:rPr>
          <w:rFonts w:ascii="Cambria" w:hAnsi="Cambria" w:cstheme="minorHAnsi"/>
          <w:sz w:val="24"/>
          <w:szCs w:val="24"/>
        </w:rPr>
        <w:t xml:space="preserve"> a Nationwide Survey. </w:t>
      </w:r>
      <w:r w:rsidRPr="00CD2F5C">
        <w:rPr>
          <w:rFonts w:ascii="Cambria" w:hAnsi="Cambria" w:cstheme="minorHAnsi"/>
          <w:i/>
          <w:iCs/>
          <w:sz w:val="24"/>
          <w:szCs w:val="24"/>
        </w:rPr>
        <w:t>American Journal of Men’s Health</w:t>
      </w:r>
      <w:r w:rsidRPr="00CD2F5C">
        <w:rPr>
          <w:rFonts w:ascii="Cambria" w:hAnsi="Cambria" w:cstheme="minorHAnsi"/>
          <w:sz w:val="24"/>
          <w:szCs w:val="24"/>
        </w:rPr>
        <w:t xml:space="preserve">. Jul;12(4):952-960. </w:t>
      </w:r>
      <w:proofErr w:type="spellStart"/>
      <w:r w:rsidRPr="00CD2F5C">
        <w:rPr>
          <w:rFonts w:ascii="Cambria" w:hAnsi="Cambria" w:cstheme="minorHAnsi"/>
          <w:sz w:val="24"/>
          <w:szCs w:val="24"/>
        </w:rPr>
        <w:t>doi</w:t>
      </w:r>
      <w:proofErr w:type="spellEnd"/>
      <w:r w:rsidRPr="00CD2F5C">
        <w:rPr>
          <w:rFonts w:ascii="Cambria" w:hAnsi="Cambria" w:cstheme="minorHAnsi"/>
          <w:sz w:val="24"/>
          <w:szCs w:val="24"/>
        </w:rPr>
        <w:t>: 10.1177/1557988317753242.</w:t>
      </w:r>
    </w:p>
    <w:p w14:paraId="1592CE6B" w14:textId="77777777" w:rsidR="009832C0" w:rsidRPr="00CD2F5C" w:rsidRDefault="009832C0" w:rsidP="002B0F75">
      <w:pPr>
        <w:spacing w:line="360" w:lineRule="auto"/>
        <w:rPr>
          <w:rFonts w:ascii="Cambria" w:hAnsi="Cambria" w:cstheme="minorHAnsi"/>
          <w:sz w:val="24"/>
          <w:szCs w:val="24"/>
        </w:rPr>
      </w:pPr>
      <w:proofErr w:type="spellStart"/>
      <w:r w:rsidRPr="00CD2F5C">
        <w:rPr>
          <w:rFonts w:ascii="Cambria" w:hAnsi="Cambria" w:cstheme="minorHAnsi"/>
          <w:sz w:val="24"/>
          <w:szCs w:val="24"/>
        </w:rPr>
        <w:t>Olugbade</w:t>
      </w:r>
      <w:proofErr w:type="spellEnd"/>
      <w:r w:rsidRPr="00CD2F5C">
        <w:rPr>
          <w:rFonts w:ascii="Cambria" w:hAnsi="Cambria" w:cstheme="minorHAnsi"/>
          <w:sz w:val="24"/>
          <w:szCs w:val="24"/>
        </w:rPr>
        <w:t>, T., Bianchi-</w:t>
      </w:r>
      <w:proofErr w:type="spellStart"/>
      <w:r w:rsidRPr="00CD2F5C">
        <w:rPr>
          <w:rFonts w:ascii="Cambria" w:hAnsi="Cambria" w:cstheme="minorHAnsi"/>
          <w:sz w:val="24"/>
          <w:szCs w:val="24"/>
        </w:rPr>
        <w:t>Berthouze</w:t>
      </w:r>
      <w:proofErr w:type="spellEnd"/>
      <w:r w:rsidRPr="00CD2F5C">
        <w:rPr>
          <w:rFonts w:ascii="Cambria" w:hAnsi="Cambria" w:cstheme="minorHAnsi"/>
          <w:sz w:val="24"/>
          <w:szCs w:val="24"/>
        </w:rPr>
        <w:t>, N., &amp; Williams, A. (2019) The relationship between guarding, pain, and emotion. </w:t>
      </w:r>
      <w:r w:rsidRPr="00CD2F5C">
        <w:rPr>
          <w:rFonts w:ascii="Cambria" w:hAnsi="Cambria" w:cstheme="minorHAnsi"/>
          <w:i/>
          <w:iCs/>
          <w:sz w:val="24"/>
          <w:szCs w:val="24"/>
        </w:rPr>
        <w:t>Pain reports</w:t>
      </w:r>
      <w:r w:rsidRPr="00CD2F5C">
        <w:rPr>
          <w:rFonts w:ascii="Cambria" w:hAnsi="Cambria" w:cstheme="minorHAnsi"/>
          <w:sz w:val="24"/>
          <w:szCs w:val="24"/>
        </w:rPr>
        <w:t>, </w:t>
      </w:r>
      <w:r w:rsidRPr="00CD2F5C">
        <w:rPr>
          <w:rFonts w:ascii="Cambria" w:hAnsi="Cambria" w:cstheme="minorHAnsi"/>
          <w:i/>
          <w:iCs/>
          <w:sz w:val="24"/>
          <w:szCs w:val="24"/>
        </w:rPr>
        <w:t>4</w:t>
      </w:r>
      <w:r w:rsidRPr="00CD2F5C">
        <w:rPr>
          <w:rFonts w:ascii="Cambria" w:hAnsi="Cambria" w:cstheme="minorHAnsi"/>
          <w:sz w:val="24"/>
          <w:szCs w:val="24"/>
        </w:rPr>
        <w:t xml:space="preserve">(4), e770. doi:10.1097/PR9.0000000000000770 </w:t>
      </w:r>
    </w:p>
    <w:p w14:paraId="3C059904" w14:textId="77777777" w:rsidR="009832C0" w:rsidRPr="00CD2F5C" w:rsidRDefault="009832C0" w:rsidP="002B0F75">
      <w:pPr>
        <w:spacing w:line="360" w:lineRule="auto"/>
        <w:rPr>
          <w:rFonts w:ascii="Cambria" w:hAnsi="Cambria" w:cstheme="minorHAnsi"/>
          <w:i/>
          <w:sz w:val="24"/>
          <w:szCs w:val="24"/>
        </w:rPr>
      </w:pPr>
      <w:r w:rsidRPr="00CD2F5C">
        <w:rPr>
          <w:rFonts w:ascii="Cambria" w:hAnsi="Cambria" w:cstheme="minorHAnsi"/>
          <w:sz w:val="24"/>
          <w:szCs w:val="24"/>
        </w:rPr>
        <w:t xml:space="preserve">Sakamoto, Y., Oka, T., Amari, T., and Simo, S. (2019) Factors Affecting Psychological Stress in Healthcare Workers with and without Chronic Pain: A Cross-Sectional Study Using Multiple Regression Analysis. </w:t>
      </w:r>
      <w:r w:rsidRPr="00CD2F5C">
        <w:rPr>
          <w:rFonts w:ascii="Cambria" w:hAnsi="Cambria" w:cstheme="minorHAnsi"/>
          <w:i/>
          <w:sz w:val="24"/>
          <w:szCs w:val="24"/>
        </w:rPr>
        <w:t>Medicina</w:t>
      </w:r>
      <w:r w:rsidRPr="00CD2F5C">
        <w:rPr>
          <w:rFonts w:ascii="Cambria" w:hAnsi="Cambria" w:cstheme="minorHAnsi"/>
          <w:sz w:val="24"/>
          <w:szCs w:val="24"/>
        </w:rPr>
        <w:t xml:space="preserve">, 55(10), 652; </w:t>
      </w:r>
      <w:hyperlink r:id="rId159" w:history="1">
        <w:r w:rsidRPr="00CD2F5C">
          <w:rPr>
            <w:rStyle w:val="Hyperlink"/>
            <w:rFonts w:ascii="Cambria" w:hAnsi="Cambria" w:cstheme="minorHAnsi"/>
            <w:sz w:val="24"/>
            <w:szCs w:val="24"/>
          </w:rPr>
          <w:t>https://doi.org/10.3390/medicina55100652</w:t>
        </w:r>
      </w:hyperlink>
    </w:p>
    <w:p w14:paraId="3DCC067F" w14:textId="77777777" w:rsidR="009832C0" w:rsidRPr="00CD2F5C" w:rsidRDefault="009832C0" w:rsidP="002B0F75">
      <w:pPr>
        <w:spacing w:line="360" w:lineRule="auto"/>
        <w:rPr>
          <w:rFonts w:ascii="Cambria" w:hAnsi="Cambria" w:cstheme="minorHAnsi"/>
          <w:sz w:val="24"/>
          <w:szCs w:val="24"/>
        </w:rPr>
      </w:pPr>
    </w:p>
    <w:p w14:paraId="5721FA05"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br w:type="page"/>
      </w:r>
    </w:p>
    <w:p w14:paraId="4D818162" w14:textId="77777777" w:rsidR="009832C0" w:rsidRPr="00CD2F5C" w:rsidRDefault="009832C0" w:rsidP="002B0F75">
      <w:pPr>
        <w:spacing w:line="360" w:lineRule="auto"/>
        <w:jc w:val="center"/>
        <w:rPr>
          <w:rFonts w:ascii="Cambria" w:hAnsi="Cambria"/>
          <w:b/>
          <w:bCs/>
          <w:sz w:val="24"/>
          <w:szCs w:val="24"/>
        </w:rPr>
      </w:pPr>
      <w:r w:rsidRPr="13B33B62">
        <w:rPr>
          <w:rFonts w:ascii="Cambria" w:hAnsi="Cambria"/>
          <w:b/>
          <w:bCs/>
          <w:sz w:val="24"/>
          <w:szCs w:val="24"/>
        </w:rPr>
        <w:lastRenderedPageBreak/>
        <w:t>Abstract and presentation: APS 2023 (Puerto Rico)</w:t>
      </w:r>
    </w:p>
    <w:p w14:paraId="7C4D7832"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 xml:space="preserve">Accepted abstract: </w:t>
      </w:r>
    </w:p>
    <w:p w14:paraId="43091013"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Background: There remains a lack of understanding on the complex pathways linking adverse childhood experiences (ACEs) to poor adult health outcomes such as chronic pain. Despite a clear link between ACEs and anxiety, the role of anxiety in this pathway to chronic pain is not yet understood. Potentially, inflammatory markers such as C-Reactive Protein (CRP) are involved.</w:t>
      </w:r>
    </w:p>
    <w:p w14:paraId="4DBA70C2"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Objective: First, to examine the relationships between reported ACEs, anxiety, and chronic pain. Second, to assess the associations between ACEs, anxiety, and CRP levels, and also the link between CRP and chronic pain.</w:t>
      </w:r>
    </w:p>
    <w:p w14:paraId="0484A3BD"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Methods: The first analysis involved data from 24,172 adults who participated in the UK Biobank (UKB). Poisson regressions were conducted to assess the relationships between ACEs, anxiety, and chronic pain. Second, in the sample of participants with CRP data who also met inclusion (n = 2007), similar models were run between ACEs, anxiety, and CRP, as well as CRP and chronic pain.</w:t>
      </w:r>
    </w:p>
    <w:p w14:paraId="6F8A344B"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Results: In the first analysis, three statistically significant interactions were found to predict chronic pain: the frequency of physical abuse experienced as a child x reported muscular symptoms during anxiety (</w:t>
      </w:r>
      <w:r w:rsidRPr="00CD2F5C">
        <w:rPr>
          <w:rFonts w:ascii="Cambria" w:hAnsi="Cambria" w:cstheme="minorHAnsi"/>
          <w:i/>
          <w:iCs/>
          <w:sz w:val="24"/>
          <w:szCs w:val="24"/>
        </w:rPr>
        <w:t>p</w:t>
      </w:r>
      <w:r w:rsidRPr="00CD2F5C">
        <w:rPr>
          <w:rFonts w:ascii="Cambria" w:hAnsi="Cambria" w:cstheme="minorHAnsi"/>
          <w:sz w:val="24"/>
          <w:szCs w:val="24"/>
        </w:rPr>
        <w:t> &lt; 0.01); the frequency in which they felt hated as a child x having discussed anxiety with a professional (</w:t>
      </w:r>
      <w:r w:rsidRPr="00CD2F5C">
        <w:rPr>
          <w:rFonts w:ascii="Cambria" w:hAnsi="Cambria" w:cstheme="minorHAnsi"/>
          <w:i/>
          <w:iCs/>
          <w:sz w:val="24"/>
          <w:szCs w:val="24"/>
        </w:rPr>
        <w:t>p</w:t>
      </w:r>
      <w:r w:rsidRPr="00CD2F5C">
        <w:rPr>
          <w:rFonts w:ascii="Cambria" w:hAnsi="Cambria" w:cstheme="minorHAnsi"/>
          <w:sz w:val="24"/>
          <w:szCs w:val="24"/>
        </w:rPr>
        <w:t> = 0.028), and the reported frequency of sexual abuse x difficulties relaxing during anxiety attacks (</w:t>
      </w:r>
      <w:r w:rsidRPr="00CD2F5C">
        <w:rPr>
          <w:rFonts w:ascii="Cambria" w:hAnsi="Cambria" w:cstheme="minorHAnsi"/>
          <w:i/>
          <w:iCs/>
          <w:sz w:val="24"/>
          <w:szCs w:val="24"/>
        </w:rPr>
        <w:t>p</w:t>
      </w:r>
      <w:r w:rsidRPr="00CD2F5C">
        <w:rPr>
          <w:rFonts w:ascii="Cambria" w:hAnsi="Cambria" w:cstheme="minorHAnsi"/>
          <w:sz w:val="24"/>
          <w:szCs w:val="24"/>
        </w:rPr>
        <w:t> = 0.028). For the second analysis, the frequency of sexual abuse in childhood and informing a professional about anxiety significantly interacted to predict elevated CRP. When examining potential correlations, the largest significant correlation was between the number of times pain was reported over the years (</w:t>
      </w:r>
      <w:r w:rsidRPr="00CD2F5C">
        <w:rPr>
          <w:rFonts w:ascii="Cambria" w:hAnsi="Cambria" w:cstheme="minorHAnsi"/>
          <w:i/>
          <w:iCs/>
          <w:sz w:val="24"/>
          <w:szCs w:val="24"/>
        </w:rPr>
        <w:t>p</w:t>
      </w:r>
      <w:r w:rsidRPr="00CD2F5C">
        <w:rPr>
          <w:rFonts w:ascii="Cambria" w:hAnsi="Cambria" w:cstheme="minorHAnsi"/>
          <w:sz w:val="24"/>
          <w:szCs w:val="24"/>
        </w:rPr>
        <w:t> &lt; 0.01) and CRP, followed by the reported frequency of sexual abuse in childhood (</w:t>
      </w:r>
      <w:r w:rsidRPr="00CD2F5C">
        <w:rPr>
          <w:rFonts w:ascii="Cambria" w:hAnsi="Cambria" w:cstheme="minorHAnsi"/>
          <w:i/>
          <w:iCs/>
          <w:sz w:val="24"/>
          <w:szCs w:val="24"/>
        </w:rPr>
        <w:t>p</w:t>
      </w:r>
      <w:r w:rsidRPr="00CD2F5C">
        <w:rPr>
          <w:rFonts w:ascii="Cambria" w:hAnsi="Cambria" w:cstheme="minorHAnsi"/>
          <w:sz w:val="24"/>
          <w:szCs w:val="24"/>
        </w:rPr>
        <w:t> &lt; 0.05) and CRP. Finally, ACEs (physical abuse, sexual abuse, whether taken to a doctor when needed as a child) significantly interacted with CRP to predict pain.</w:t>
      </w:r>
    </w:p>
    <w:p w14:paraId="240508A6"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Conclusion: Our findings illustrate that ACEs significantly interact with anxiety and CRP to predict the occurrence of chronic pain in adults.</w:t>
      </w:r>
    </w:p>
    <w:p w14:paraId="70299541"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lastRenderedPageBreak/>
        <w:t>Implications: Although the implications of the results warrant further study, it may be worth investigating a cohort of patients with anxiety that could potentially benefit from individualized therapy with anti-inflammatory drugs, such as those with chronic pain and a history of ACEs.</w:t>
      </w:r>
    </w:p>
    <w:p w14:paraId="064FCD5C"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Presented poster:</w:t>
      </w:r>
    </w:p>
    <w:p w14:paraId="3E8607E1"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lastRenderedPageBreak/>
        <w:drawing>
          <wp:inline distT="0" distB="0" distL="0" distR="0" wp14:anchorId="6B031268" wp14:editId="6FE61CFC">
            <wp:extent cx="5943600" cy="7924800"/>
            <wp:effectExtent l="0" t="0" r="0" b="0"/>
            <wp:docPr id="17171132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13296"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5943600" cy="7924800"/>
                    </a:xfrm>
                    <a:prstGeom prst="rect">
                      <a:avLst/>
                    </a:prstGeom>
                  </pic:spPr>
                </pic:pic>
              </a:graphicData>
            </a:graphic>
          </wp:inline>
        </w:drawing>
      </w:r>
    </w:p>
    <w:p w14:paraId="36E92B30" w14:textId="77777777" w:rsidR="009832C0" w:rsidRPr="00CD2F5C" w:rsidRDefault="009832C0" w:rsidP="002B0F75">
      <w:pPr>
        <w:spacing w:line="360" w:lineRule="auto"/>
        <w:rPr>
          <w:rFonts w:ascii="Cambria" w:hAnsi="Cambria" w:cstheme="minorHAnsi"/>
          <w:b/>
          <w:bCs/>
          <w:sz w:val="24"/>
          <w:szCs w:val="24"/>
        </w:rPr>
      </w:pPr>
    </w:p>
    <w:p w14:paraId="2A2AB238" w14:textId="77777777" w:rsidR="009832C0" w:rsidRPr="00CD2F5C" w:rsidRDefault="009832C0" w:rsidP="002B0F75">
      <w:pPr>
        <w:spacing w:line="360" w:lineRule="auto"/>
        <w:jc w:val="center"/>
        <w:rPr>
          <w:rFonts w:ascii="Cambria" w:hAnsi="Cambria" w:cstheme="minorHAnsi"/>
          <w:b/>
          <w:bCs/>
          <w:sz w:val="24"/>
          <w:szCs w:val="24"/>
        </w:rPr>
      </w:pPr>
      <w:r w:rsidRPr="00CD2F5C">
        <w:rPr>
          <w:rFonts w:ascii="Cambria" w:hAnsi="Cambria" w:cstheme="minorHAnsi"/>
          <w:b/>
          <w:bCs/>
          <w:sz w:val="24"/>
          <w:szCs w:val="24"/>
        </w:rPr>
        <w:t xml:space="preserve">Abstract and oral presentation: </w:t>
      </w:r>
      <w:proofErr w:type="spellStart"/>
      <w:r w:rsidRPr="00CD2F5C">
        <w:rPr>
          <w:rFonts w:ascii="Cambria" w:hAnsi="Cambria" w:cstheme="minorHAnsi"/>
          <w:b/>
          <w:bCs/>
          <w:sz w:val="24"/>
          <w:szCs w:val="24"/>
        </w:rPr>
        <w:t>SPaRC</w:t>
      </w:r>
      <w:proofErr w:type="spellEnd"/>
      <w:r w:rsidRPr="00CD2F5C">
        <w:rPr>
          <w:rFonts w:ascii="Cambria" w:hAnsi="Cambria" w:cstheme="minorHAnsi"/>
          <w:b/>
          <w:bCs/>
          <w:sz w:val="24"/>
          <w:szCs w:val="24"/>
        </w:rPr>
        <w:t xml:space="preserve"> 2022</w:t>
      </w:r>
    </w:p>
    <w:p w14:paraId="4303E9C2"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 xml:space="preserve">Accepted abstract: </w:t>
      </w:r>
    </w:p>
    <w:p w14:paraId="082B8209"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Background: When considering factors that may impact chronic pain experiences in adulthood, adverse childhood experiences (ACEs) and anxiety experience should be considered, but the role of anxiety in the complex pathways linking ACEs to adult chronic pain outcomes is unclear.</w:t>
      </w:r>
    </w:p>
    <w:p w14:paraId="08283C7C"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Objective: To summarize the existing literature on the relationship between anxiety and childhood adversity on chronic pain experience in adults.</w:t>
      </w:r>
    </w:p>
    <w:p w14:paraId="0AA510C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Methods: This systematic review examined adults (≥18 years) with a reported history of childhood adversity, self-reported and/or diagnosed anxiety, and chronic pain. Databases searched included PubMed, Medline, </w:t>
      </w:r>
      <w:proofErr w:type="spellStart"/>
      <w:r w:rsidRPr="00CD2F5C">
        <w:rPr>
          <w:rFonts w:ascii="Cambria" w:hAnsi="Cambria" w:cstheme="minorHAnsi"/>
          <w:sz w:val="24"/>
          <w:szCs w:val="24"/>
        </w:rPr>
        <w:t>PsychInfo</w:t>
      </w:r>
      <w:proofErr w:type="spellEnd"/>
      <w:r w:rsidRPr="00CD2F5C">
        <w:rPr>
          <w:rFonts w:ascii="Cambria" w:hAnsi="Cambria" w:cstheme="minorHAnsi"/>
          <w:sz w:val="24"/>
          <w:szCs w:val="24"/>
        </w:rPr>
        <w:t xml:space="preserve">, and </w:t>
      </w:r>
      <w:proofErr w:type="spellStart"/>
      <w:r w:rsidRPr="00CD2F5C">
        <w:rPr>
          <w:rFonts w:ascii="Cambria" w:hAnsi="Cambria" w:cstheme="minorHAnsi"/>
          <w:sz w:val="24"/>
          <w:szCs w:val="24"/>
        </w:rPr>
        <w:t>PsychARTICLES</w:t>
      </w:r>
      <w:proofErr w:type="spellEnd"/>
      <w:r w:rsidRPr="00CD2F5C">
        <w:rPr>
          <w:rFonts w:ascii="Cambria" w:hAnsi="Cambria" w:cstheme="minorHAnsi"/>
          <w:sz w:val="24"/>
          <w:szCs w:val="24"/>
        </w:rPr>
        <w:t>; focused on studies which investigated patients with anxiety, childhood trauma outcomes, stress, and chronic pain.</w:t>
      </w:r>
    </w:p>
    <w:p w14:paraId="798170D1"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Results: The strength of the reported association (strong, moderate, weak) were assigned to each study. The narrative summary of results indicated a significant association between ACEs, anxiety, and chronic. Of 52 selected studies, 78.9% had a moderate-strong association. For ACE prevalence, the majority (50%) reported experiencing sexual abuse, followed by physical abuse 46.2%. Other common ACEs reported were emotional abuse (33.4%), emotional neglect (25%), and physical neglect (23.1%). Interestingly, the majority of studies still indicated an association between anxiety and chronic pain when excluding childhood adversity, although not as substantial.</w:t>
      </w:r>
    </w:p>
    <w:p w14:paraId="75D1E98C"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Conclusion: The results of the systematic review indicated there was a meaningful association between ACEs, anxiety, and chronic pain experiences in adults.</w:t>
      </w:r>
    </w:p>
    <w:p w14:paraId="10F9A828"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cstheme="minorHAnsi"/>
          <w:sz w:val="24"/>
          <w:szCs w:val="24"/>
        </w:rPr>
        <w:t xml:space="preserve">Relevance for patient care: The results of this study are important in showing not only an association between childhood adversity and adult chronic pain outcomes, but also with anxiety symptomology. This is an important consideration in patient care, particularly as a potential screening measure in health settings when patients present with both chronic </w:t>
      </w:r>
      <w:r w:rsidRPr="00CD2F5C">
        <w:rPr>
          <w:rFonts w:ascii="Cambria" w:hAnsi="Cambria" w:cstheme="minorHAnsi"/>
          <w:sz w:val="24"/>
          <w:szCs w:val="24"/>
        </w:rPr>
        <w:lastRenderedPageBreak/>
        <w:t>pain and anxiety. Additionally, it is worthwhile to note the high rate of reported childhood sexual abuse in this population, which contrasted prior research gaps in reporting of this ACE.</w:t>
      </w:r>
    </w:p>
    <w:p w14:paraId="54B4C997"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t>Oral presentation (slides):</w:t>
      </w:r>
    </w:p>
    <w:p w14:paraId="36A69580" w14:textId="77777777" w:rsidR="009832C0" w:rsidRPr="00CD2F5C" w:rsidRDefault="009832C0" w:rsidP="002B0F75">
      <w:pPr>
        <w:spacing w:line="360" w:lineRule="auto"/>
        <w:rPr>
          <w:rFonts w:ascii="Cambria" w:hAnsi="Cambria" w:cstheme="minorHAnsi"/>
          <w:sz w:val="24"/>
          <w:szCs w:val="24"/>
        </w:rPr>
      </w:pPr>
      <w:r w:rsidRPr="00CD2F5C">
        <w:rPr>
          <w:rFonts w:ascii="Cambria" w:hAnsi="Cambria"/>
          <w:noProof/>
          <w:sz w:val="24"/>
          <w:szCs w:val="24"/>
        </w:rPr>
        <w:lastRenderedPageBreak/>
        <w:drawing>
          <wp:inline distT="0" distB="0" distL="0" distR="0" wp14:anchorId="69F2DD77" wp14:editId="25270A0E">
            <wp:extent cx="4899589" cy="3674692"/>
            <wp:effectExtent l="0" t="0" r="0" b="2540"/>
            <wp:docPr id="6986392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39269"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4912062" cy="3684046"/>
                    </a:xfrm>
                    <a:prstGeom prst="rect">
                      <a:avLst/>
                    </a:prstGeom>
                  </pic:spPr>
                </pic:pic>
              </a:graphicData>
            </a:graphic>
          </wp:inline>
        </w:drawing>
      </w:r>
      <w:r w:rsidRPr="00CD2F5C">
        <w:rPr>
          <w:rFonts w:ascii="Cambria" w:hAnsi="Cambria"/>
          <w:noProof/>
          <w:sz w:val="24"/>
          <w:szCs w:val="24"/>
        </w:rPr>
        <w:drawing>
          <wp:inline distT="0" distB="0" distL="0" distR="0" wp14:anchorId="65B97D2C" wp14:editId="1803E2C5">
            <wp:extent cx="4888195" cy="3666146"/>
            <wp:effectExtent l="0" t="0" r="8255" b="0"/>
            <wp:docPr id="6104890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89011"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4901689" cy="3676266"/>
                    </a:xfrm>
                    <a:prstGeom prst="rect">
                      <a:avLst/>
                    </a:prstGeom>
                  </pic:spPr>
                </pic:pic>
              </a:graphicData>
            </a:graphic>
          </wp:inline>
        </w:drawing>
      </w:r>
    </w:p>
    <w:p w14:paraId="2FC21BB4" w14:textId="77777777" w:rsidR="009832C0" w:rsidRPr="00CD2F5C" w:rsidRDefault="009832C0" w:rsidP="002B0F75">
      <w:pPr>
        <w:spacing w:line="360" w:lineRule="auto"/>
        <w:rPr>
          <w:rFonts w:ascii="Cambria" w:hAnsi="Cambria"/>
          <w:sz w:val="24"/>
          <w:szCs w:val="24"/>
        </w:rPr>
      </w:pPr>
      <w:r w:rsidRPr="00CD2F5C">
        <w:rPr>
          <w:rFonts w:ascii="Cambria" w:hAnsi="Cambria"/>
          <w:noProof/>
          <w:sz w:val="24"/>
          <w:szCs w:val="24"/>
        </w:rPr>
        <w:lastRenderedPageBreak/>
        <w:drawing>
          <wp:inline distT="0" distB="0" distL="0" distR="0" wp14:anchorId="681F549D" wp14:editId="14FDFBF4">
            <wp:extent cx="4967956" cy="3725967"/>
            <wp:effectExtent l="0" t="0" r="4445" b="8255"/>
            <wp:docPr id="896572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7258"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4976888" cy="3732666"/>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drawing>
          <wp:inline distT="0" distB="0" distL="0" distR="0" wp14:anchorId="6EB78F36" wp14:editId="12FE0713">
            <wp:extent cx="4956561" cy="3717421"/>
            <wp:effectExtent l="0" t="0" r="0" b="0"/>
            <wp:docPr id="5784214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21455"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4959774" cy="3719831"/>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lastRenderedPageBreak/>
        <w:drawing>
          <wp:inline distT="0" distB="0" distL="0" distR="0" wp14:anchorId="36623281" wp14:editId="70384717">
            <wp:extent cx="5037746" cy="3778310"/>
            <wp:effectExtent l="0" t="0" r="0" b="0"/>
            <wp:docPr id="1006081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8184"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5044118" cy="3783089"/>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drawing>
          <wp:inline distT="0" distB="0" distL="0" distR="0" wp14:anchorId="3A0C4174" wp14:editId="0337E1FA">
            <wp:extent cx="4948015" cy="3711011"/>
            <wp:effectExtent l="0" t="0" r="5080" b="3810"/>
            <wp:docPr id="6544031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03182"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4952804" cy="3714603"/>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lastRenderedPageBreak/>
        <w:drawing>
          <wp:inline distT="0" distB="0" distL="0" distR="0" wp14:anchorId="11E4D757" wp14:editId="1325DBD5">
            <wp:extent cx="5435125" cy="4076343"/>
            <wp:effectExtent l="0" t="0" r="0" b="635"/>
            <wp:docPr id="12502346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34658" name=""/>
                    <pic:cNvPicPr/>
                  </pic:nvPicPr>
                  <pic:blipFill>
                    <a:blip r:embed="rId174">
                      <a:extLst>
                        <a:ext uri="{96DAC541-7B7A-43D3-8B79-37D633B846F1}">
                          <asvg:svgBlip xmlns:asvg="http://schemas.microsoft.com/office/drawing/2016/SVG/main" r:embed="rId175"/>
                        </a:ext>
                      </a:extLst>
                    </a:blip>
                    <a:stretch>
                      <a:fillRect/>
                    </a:stretch>
                  </pic:blipFill>
                  <pic:spPr>
                    <a:xfrm>
                      <a:off x="0" y="0"/>
                      <a:ext cx="5463035" cy="4097275"/>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lastRenderedPageBreak/>
        <w:drawing>
          <wp:inline distT="0" distB="0" distL="0" distR="0" wp14:anchorId="2E6F3FD7" wp14:editId="7CF0DD30">
            <wp:extent cx="5452217" cy="4089163"/>
            <wp:effectExtent l="0" t="0" r="0" b="6985"/>
            <wp:docPr id="16572237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23790" name=""/>
                    <pic:cNvPicPr/>
                  </pic:nvPicPr>
                  <pic:blipFill>
                    <a:blip r:embed="rId176">
                      <a:extLst>
                        <a:ext uri="{96DAC541-7B7A-43D3-8B79-37D633B846F1}">
                          <asvg:svgBlip xmlns:asvg="http://schemas.microsoft.com/office/drawing/2016/SVG/main" r:embed="rId177"/>
                        </a:ext>
                      </a:extLst>
                    </a:blip>
                    <a:stretch>
                      <a:fillRect/>
                    </a:stretch>
                  </pic:blipFill>
                  <pic:spPr>
                    <a:xfrm>
                      <a:off x="0" y="0"/>
                      <a:ext cx="5458151" cy="4093613"/>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drawing>
          <wp:inline distT="0" distB="0" distL="0" distR="0" wp14:anchorId="3F628295" wp14:editId="4138699E">
            <wp:extent cx="5101839" cy="3826379"/>
            <wp:effectExtent l="0" t="0" r="3810" b="3175"/>
            <wp:docPr id="134458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872" name=""/>
                    <pic:cNvPicPr/>
                  </pic:nvPicPr>
                  <pic:blipFill>
                    <a:blip r:embed="rId178">
                      <a:extLst>
                        <a:ext uri="{96DAC541-7B7A-43D3-8B79-37D633B846F1}">
                          <asvg:svgBlip xmlns:asvg="http://schemas.microsoft.com/office/drawing/2016/SVG/main" r:embed="rId179"/>
                        </a:ext>
                      </a:extLst>
                    </a:blip>
                    <a:stretch>
                      <a:fillRect/>
                    </a:stretch>
                  </pic:blipFill>
                  <pic:spPr>
                    <a:xfrm>
                      <a:off x="0" y="0"/>
                      <a:ext cx="5113273" cy="3834954"/>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lastRenderedPageBreak/>
        <w:drawing>
          <wp:inline distT="0" distB="0" distL="0" distR="0" wp14:anchorId="2C38A3EC" wp14:editId="13F56031">
            <wp:extent cx="5195843" cy="3896882"/>
            <wp:effectExtent l="0" t="0" r="5080" b="8890"/>
            <wp:docPr id="19413136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13609" name=""/>
                    <pic:cNvPicPr/>
                  </pic:nvPicPr>
                  <pic:blipFill>
                    <a:blip r:embed="rId180">
                      <a:extLst>
                        <a:ext uri="{96DAC541-7B7A-43D3-8B79-37D633B846F1}">
                          <asvg:svgBlip xmlns:asvg="http://schemas.microsoft.com/office/drawing/2016/SVG/main" r:embed="rId181"/>
                        </a:ext>
                      </a:extLst>
                    </a:blip>
                    <a:stretch>
                      <a:fillRect/>
                    </a:stretch>
                  </pic:blipFill>
                  <pic:spPr>
                    <a:xfrm>
                      <a:off x="0" y="0"/>
                      <a:ext cx="5201316" cy="3900987"/>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drawing>
          <wp:inline distT="0" distB="0" distL="0" distR="0" wp14:anchorId="4777E7E8" wp14:editId="5E087A48">
            <wp:extent cx="4948015" cy="3711011"/>
            <wp:effectExtent l="0" t="0" r="5080" b="3810"/>
            <wp:docPr id="3926046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04663" name=""/>
                    <pic:cNvPicPr/>
                  </pic:nvPicPr>
                  <pic:blipFill>
                    <a:blip r:embed="rId182">
                      <a:extLst>
                        <a:ext uri="{96DAC541-7B7A-43D3-8B79-37D633B846F1}">
                          <asvg:svgBlip xmlns:asvg="http://schemas.microsoft.com/office/drawing/2016/SVG/main" r:embed="rId183"/>
                        </a:ext>
                      </a:extLst>
                    </a:blip>
                    <a:stretch>
                      <a:fillRect/>
                    </a:stretch>
                  </pic:blipFill>
                  <pic:spPr>
                    <a:xfrm>
                      <a:off x="0" y="0"/>
                      <a:ext cx="4956967" cy="3717725"/>
                    </a:xfrm>
                    <a:prstGeom prst="rect">
                      <a:avLst/>
                    </a:prstGeom>
                  </pic:spPr>
                </pic:pic>
              </a:graphicData>
            </a:graphic>
          </wp:inline>
        </w:drawing>
      </w:r>
      <w:r w:rsidRPr="00CD2F5C">
        <w:rPr>
          <w:rFonts w:ascii="Cambria" w:hAnsi="Cambria"/>
          <w:sz w:val="24"/>
          <w:szCs w:val="24"/>
        </w:rPr>
        <w:t xml:space="preserve"> </w:t>
      </w:r>
      <w:r w:rsidRPr="00CD2F5C">
        <w:rPr>
          <w:rFonts w:ascii="Cambria" w:hAnsi="Cambria"/>
          <w:noProof/>
          <w:sz w:val="24"/>
          <w:szCs w:val="24"/>
        </w:rPr>
        <w:lastRenderedPageBreak/>
        <w:drawing>
          <wp:inline distT="0" distB="0" distL="0" distR="0" wp14:anchorId="0648158B" wp14:editId="166F32DD">
            <wp:extent cx="4947920" cy="3710940"/>
            <wp:effectExtent l="0" t="0" r="5080" b="3810"/>
            <wp:docPr id="7583841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84169" name=""/>
                    <pic:cNvPicPr/>
                  </pic:nvPicPr>
                  <pic:blipFill>
                    <a:blip r:embed="rId184">
                      <a:extLst>
                        <a:ext uri="{96DAC541-7B7A-43D3-8B79-37D633B846F1}">
                          <asvg:svgBlip xmlns:asvg="http://schemas.microsoft.com/office/drawing/2016/SVG/main" r:embed="rId185"/>
                        </a:ext>
                      </a:extLst>
                    </a:blip>
                    <a:stretch>
                      <a:fillRect/>
                    </a:stretch>
                  </pic:blipFill>
                  <pic:spPr>
                    <a:xfrm>
                      <a:off x="0" y="0"/>
                      <a:ext cx="4957161" cy="3717871"/>
                    </a:xfrm>
                    <a:prstGeom prst="rect">
                      <a:avLst/>
                    </a:prstGeom>
                  </pic:spPr>
                </pic:pic>
              </a:graphicData>
            </a:graphic>
          </wp:inline>
        </w:drawing>
      </w:r>
    </w:p>
    <w:p w14:paraId="44AD97D1" w14:textId="77777777" w:rsidR="009832C0" w:rsidRPr="00CD2F5C" w:rsidRDefault="009832C0" w:rsidP="002B0F75">
      <w:pPr>
        <w:spacing w:line="360" w:lineRule="auto"/>
        <w:rPr>
          <w:rFonts w:ascii="Cambria" w:hAnsi="Cambria"/>
          <w:b/>
          <w:bCs/>
          <w:sz w:val="24"/>
          <w:szCs w:val="24"/>
        </w:rPr>
      </w:pPr>
    </w:p>
    <w:p w14:paraId="52A5F515" w14:textId="77777777" w:rsidR="009832C0" w:rsidRPr="00CD2F5C" w:rsidRDefault="009832C0" w:rsidP="002B0F75">
      <w:pPr>
        <w:spacing w:line="360" w:lineRule="auto"/>
        <w:rPr>
          <w:rFonts w:ascii="Cambria" w:hAnsi="Cambria" w:cstheme="minorHAnsi"/>
          <w:b/>
          <w:bCs/>
          <w:sz w:val="24"/>
          <w:szCs w:val="24"/>
        </w:rPr>
      </w:pPr>
      <w:r w:rsidRPr="00CD2F5C">
        <w:rPr>
          <w:rFonts w:ascii="Cambria" w:hAnsi="Cambria" w:cstheme="minorHAnsi"/>
          <w:b/>
          <w:bCs/>
          <w:sz w:val="24"/>
          <w:szCs w:val="24"/>
        </w:rPr>
        <w:br w:type="page"/>
      </w:r>
    </w:p>
    <w:p w14:paraId="43B7FD65" w14:textId="77777777" w:rsidR="009832C0" w:rsidRPr="00CD2F5C" w:rsidRDefault="009832C0" w:rsidP="002B0F75">
      <w:pPr>
        <w:tabs>
          <w:tab w:val="left" w:pos="1063"/>
        </w:tabs>
        <w:spacing w:line="360" w:lineRule="auto"/>
        <w:jc w:val="center"/>
        <w:rPr>
          <w:rFonts w:ascii="Cambria" w:hAnsi="Cambria" w:cstheme="minorHAnsi"/>
          <w:b/>
          <w:bCs/>
          <w:sz w:val="24"/>
          <w:szCs w:val="24"/>
        </w:rPr>
      </w:pPr>
      <w:bookmarkStart w:id="198" w:name="_Hlk155526779"/>
      <w:r w:rsidRPr="00CD2F5C">
        <w:rPr>
          <w:rFonts w:ascii="Cambria" w:hAnsi="Cambria" w:cstheme="minorHAnsi"/>
          <w:b/>
          <w:bCs/>
          <w:sz w:val="24"/>
          <w:szCs w:val="24"/>
        </w:rPr>
        <w:lastRenderedPageBreak/>
        <w:t>Abstract (accepted, not presented): EFIC 2023</w:t>
      </w:r>
      <w:bookmarkEnd w:id="198"/>
    </w:p>
    <w:p w14:paraId="69C49E7E" w14:textId="11F86F01" w:rsidR="00F140A5" w:rsidRPr="0054021C" w:rsidRDefault="009832C0" w:rsidP="002B0F75">
      <w:pPr>
        <w:tabs>
          <w:tab w:val="left" w:pos="1063"/>
        </w:tabs>
        <w:spacing w:line="360" w:lineRule="auto"/>
        <w:rPr>
          <w:rFonts w:ascii="Cambria" w:hAnsi="Cambria"/>
          <w:sz w:val="24"/>
          <w:szCs w:val="24"/>
        </w:rPr>
      </w:pPr>
      <w:r w:rsidRPr="13B33B62">
        <w:rPr>
          <w:rFonts w:ascii="Cambria" w:hAnsi="Cambria"/>
          <w:sz w:val="24"/>
          <w:szCs w:val="24"/>
        </w:rPr>
        <w:t xml:space="preserve">Background and aims: When considering factors that may impact chronic pain experiences in adulthood, adverse childhood experiences (ACEs) and anxiety experience should be considered, but the role of anxiety in the complex pathways linking ACEs to adult chronic pain outcomes is unclear. The objective of this study was </w:t>
      </w:r>
      <w:proofErr w:type="gramStart"/>
      <w:r w:rsidRPr="13B33B62">
        <w:rPr>
          <w:rFonts w:ascii="Cambria" w:hAnsi="Cambria"/>
          <w:sz w:val="24"/>
          <w:szCs w:val="24"/>
        </w:rPr>
        <w:t>summarize</w:t>
      </w:r>
      <w:proofErr w:type="gramEnd"/>
      <w:r w:rsidRPr="13B33B62">
        <w:rPr>
          <w:rFonts w:ascii="Cambria" w:hAnsi="Cambria"/>
          <w:sz w:val="24"/>
          <w:szCs w:val="24"/>
        </w:rPr>
        <w:t xml:space="preserve"> the existing literature on the relationship between anxiety and childhood adversity on chronic pain experience in adults. Methods: This systematic review examined adults (≥ 18 years) with a reported history of childhood adversity, self-reported and/or diagnosed anxiety, and chronic pain. Both narrative synthesis and meta-analysis were conducted. Results: The narrative summary of this review indicated a significant association between ACEs, anxiety, and chronic pain experiences in adults. Of 52 selected studies, 78.9% reported a moderate-strong association. For ACE prevalence, the majority (50%, SD 16.01) reported experiencing sexual abuse, closely followed by physical abuse 46.2% (SD 20.7). Other common ACEs reported were emotional abuse (33.4% (SD 17.17)), emotional neglect (25% (SD 21.02)), and physical neglect (23.1% (SD 22.44)). Meta-analyses showed moderate associations between anxiety and chronic pain (r = 0.30; 95%CI = (0.14, 0.45), p &lt; 0.01) as well as between ACEs and anxiety (r = 0.26; 95%CI = (0.15, 0.36), p &lt; 0.01), and that participants who experienced ACEs are almost twice as likely to present chronic pain during adulthood (OR = 1.99; 95%CI= (1.53, 2.60), p &lt; 0.01). Conclusions: The results of the systematic review and meta-analysis indicated there was a meaningful association between ACEs, anxiety, and chronic pain experiences in adults.</w:t>
      </w:r>
    </w:p>
    <w:p w14:paraId="461BC172" w14:textId="6BEC2B7C" w:rsidR="0054021C" w:rsidRPr="0054021C" w:rsidRDefault="0054021C" w:rsidP="002B0F75">
      <w:pPr>
        <w:tabs>
          <w:tab w:val="left" w:pos="5600"/>
        </w:tabs>
        <w:spacing w:line="360" w:lineRule="auto"/>
        <w:rPr>
          <w:rFonts w:ascii="Cambria" w:hAnsi="Cambria"/>
          <w:sz w:val="24"/>
          <w:szCs w:val="24"/>
        </w:rPr>
      </w:pPr>
    </w:p>
    <w:sectPr w:rsidR="0054021C" w:rsidRPr="0054021C" w:rsidSect="002B0F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6B633D" w14:textId="77777777" w:rsidR="0088540E" w:rsidRPr="00CD2F5C" w:rsidRDefault="0088540E" w:rsidP="00F140A5">
      <w:pPr>
        <w:spacing w:after="0" w:line="240" w:lineRule="auto"/>
      </w:pPr>
      <w:r w:rsidRPr="00CD2F5C">
        <w:separator/>
      </w:r>
    </w:p>
  </w:endnote>
  <w:endnote w:type="continuationSeparator" w:id="0">
    <w:p w14:paraId="227063CD" w14:textId="77777777" w:rsidR="0088540E" w:rsidRPr="00CD2F5C" w:rsidRDefault="0088540E" w:rsidP="00F140A5">
      <w:pPr>
        <w:spacing w:after="0" w:line="240" w:lineRule="auto"/>
      </w:pPr>
      <w:r w:rsidRPr="00CD2F5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DejaVu Sans">
    <w:panose1 w:val="00000000000000000000"/>
    <w:charset w:val="00"/>
    <w:family w:val="roman"/>
    <w:notTrueType/>
    <w:pitch w:val="default"/>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80DEE" w14:textId="77777777" w:rsidR="002D1216" w:rsidRPr="00CD2F5C" w:rsidRDefault="002D1216">
    <w:pPr>
      <w:pStyle w:val="Footer"/>
      <w:jc w:val="center"/>
    </w:pPr>
  </w:p>
  <w:p w14:paraId="55FB41A5" w14:textId="77777777" w:rsidR="002D1216" w:rsidRPr="00CD2F5C" w:rsidRDefault="002D12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24128818"/>
      <w:docPartObj>
        <w:docPartGallery w:val="Page Numbers (Bottom of Page)"/>
        <w:docPartUnique/>
      </w:docPartObj>
    </w:sdtPr>
    <w:sdtContent>
      <w:p w14:paraId="70AC20F6" w14:textId="77777777" w:rsidR="002D1216" w:rsidRPr="00CD2F5C" w:rsidRDefault="002D1216">
        <w:pPr>
          <w:pStyle w:val="Footer"/>
          <w:jc w:val="center"/>
        </w:pPr>
        <w:r w:rsidRPr="00CD2F5C">
          <w:rPr>
            <w:rFonts w:ascii="Cambria" w:hAnsi="Cambria"/>
          </w:rPr>
          <w:fldChar w:fldCharType="begin"/>
        </w:r>
        <w:r w:rsidRPr="00CD2F5C">
          <w:rPr>
            <w:rFonts w:ascii="Cambria" w:hAnsi="Cambria"/>
          </w:rPr>
          <w:instrText xml:space="preserve"> PAGE   \* MERGEFORMAT </w:instrText>
        </w:r>
        <w:r w:rsidRPr="00CD2F5C">
          <w:rPr>
            <w:rFonts w:ascii="Cambria" w:hAnsi="Cambria"/>
          </w:rPr>
          <w:fldChar w:fldCharType="separate"/>
        </w:r>
        <w:r w:rsidRPr="00CD2F5C">
          <w:rPr>
            <w:rFonts w:ascii="Cambria" w:hAnsi="Cambria"/>
          </w:rPr>
          <w:t>vii</w:t>
        </w:r>
        <w:proofErr w:type="spellStart"/>
        <w:r w:rsidRPr="00CD2F5C">
          <w:rPr>
            <w:rFonts w:ascii="Cambria" w:hAnsi="Cambria"/>
          </w:rPr>
          <w:t>i</w:t>
        </w:r>
        <w:proofErr w:type="spellEnd"/>
        <w:r w:rsidRPr="00CD2F5C">
          <w:rPr>
            <w:rFonts w:ascii="Cambria" w:hAnsi="Cambria"/>
          </w:rPr>
          <w:fldChar w:fldCharType="end"/>
        </w:r>
      </w:p>
    </w:sdtContent>
  </w:sdt>
  <w:p w14:paraId="167969DE" w14:textId="77777777" w:rsidR="002D1216" w:rsidRPr="00CD2F5C" w:rsidRDefault="002D121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58686367"/>
      <w:docPartObj>
        <w:docPartGallery w:val="Page Numbers (Bottom of Page)"/>
        <w:docPartUnique/>
      </w:docPartObj>
    </w:sdtPr>
    <w:sdtEndPr>
      <w:rPr>
        <w:noProof/>
      </w:rPr>
    </w:sdtEndPr>
    <w:sdtContent>
      <w:p w14:paraId="31E83D16" w14:textId="1127AE8E" w:rsidR="000E6324" w:rsidRDefault="000E632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8B9B3D7" w14:textId="77777777" w:rsidR="002076CF" w:rsidRPr="00CD2F5C" w:rsidRDefault="002076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2089FC" w14:textId="77777777" w:rsidR="0088540E" w:rsidRPr="00CD2F5C" w:rsidRDefault="0088540E" w:rsidP="00F140A5">
      <w:pPr>
        <w:spacing w:after="0" w:line="240" w:lineRule="auto"/>
      </w:pPr>
      <w:r w:rsidRPr="00CD2F5C">
        <w:separator/>
      </w:r>
    </w:p>
  </w:footnote>
  <w:footnote w:type="continuationSeparator" w:id="0">
    <w:p w14:paraId="4A5A40A9" w14:textId="77777777" w:rsidR="0088540E" w:rsidRPr="00CD2F5C" w:rsidRDefault="0088540E" w:rsidP="00F140A5">
      <w:pPr>
        <w:spacing w:after="0" w:line="240" w:lineRule="auto"/>
      </w:pPr>
      <w:r w:rsidRPr="00CD2F5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C19AFE" w14:textId="77777777" w:rsidR="002D1216" w:rsidRPr="00CD2F5C" w:rsidRDefault="002D1216" w:rsidP="00B31D20">
    <w:pPr>
      <w:pStyle w:val="Header"/>
      <w:jc w:val="right"/>
    </w:pPr>
    <w:r w:rsidRPr="00CD2F5C">
      <w:rPr>
        <w:noProof/>
      </w:rPr>
      <w:drawing>
        <wp:inline distT="0" distB="0" distL="0" distR="0" wp14:anchorId="6C842543" wp14:editId="24965A20">
          <wp:extent cx="2181225" cy="542290"/>
          <wp:effectExtent l="0" t="0" r="9525" b="0"/>
          <wp:docPr id="1598495774" name="Graphic 1" descr="University of Stirl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University of Stirling logo"/>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181225" cy="54229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C084FE" w14:textId="77777777" w:rsidR="002D1216" w:rsidRPr="00CD2F5C" w:rsidRDefault="002D12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513EE"/>
    <w:multiLevelType w:val="hybridMultilevel"/>
    <w:tmpl w:val="9CEA32F0"/>
    <w:lvl w:ilvl="0" w:tplc="04090001">
      <w:start w:val="1"/>
      <w:numFmt w:val="bullet"/>
      <w:lvlText w:val=""/>
      <w:lvlJc w:val="left"/>
      <w:pPr>
        <w:ind w:left="730" w:hanging="360"/>
      </w:pPr>
      <w:rPr>
        <w:rFonts w:ascii="Symbol" w:hAnsi="Symbol" w:hint="default"/>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1" w15:restartNumberingAfterBreak="0">
    <w:nsid w:val="03B7286E"/>
    <w:multiLevelType w:val="hybridMultilevel"/>
    <w:tmpl w:val="7E4CA2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C0ADD"/>
    <w:multiLevelType w:val="hybridMultilevel"/>
    <w:tmpl w:val="ED2E8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57681A"/>
    <w:multiLevelType w:val="hybridMultilevel"/>
    <w:tmpl w:val="B33CB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FA4E35"/>
    <w:multiLevelType w:val="hybridMultilevel"/>
    <w:tmpl w:val="144E7038"/>
    <w:lvl w:ilvl="0" w:tplc="73DC225E">
      <w:start w:val="1"/>
      <w:numFmt w:val="decimal"/>
      <w:lvlText w:val="%1."/>
      <w:lvlJc w:val="left"/>
      <w:pPr>
        <w:ind w:left="1475"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1" w:tplc="B6DED70E">
      <w:start w:val="1"/>
      <w:numFmt w:val="lowerLetter"/>
      <w:lvlText w:val="%2"/>
      <w:lvlJc w:val="left"/>
      <w:pPr>
        <w:ind w:left="112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2" w:tplc="AEC8C532">
      <w:start w:val="1"/>
      <w:numFmt w:val="lowerRoman"/>
      <w:lvlText w:val="%3"/>
      <w:lvlJc w:val="left"/>
      <w:pPr>
        <w:ind w:left="184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3" w:tplc="84F2BA46">
      <w:start w:val="1"/>
      <w:numFmt w:val="decimal"/>
      <w:lvlText w:val="%4"/>
      <w:lvlJc w:val="left"/>
      <w:pPr>
        <w:ind w:left="256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4" w:tplc="B394B382">
      <w:start w:val="1"/>
      <w:numFmt w:val="lowerLetter"/>
      <w:lvlText w:val="%5"/>
      <w:lvlJc w:val="left"/>
      <w:pPr>
        <w:ind w:left="328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5" w:tplc="2A266348">
      <w:start w:val="1"/>
      <w:numFmt w:val="lowerRoman"/>
      <w:lvlText w:val="%6"/>
      <w:lvlJc w:val="left"/>
      <w:pPr>
        <w:ind w:left="400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6" w:tplc="3DF0A7DA">
      <w:start w:val="1"/>
      <w:numFmt w:val="decimal"/>
      <w:lvlText w:val="%7"/>
      <w:lvlJc w:val="left"/>
      <w:pPr>
        <w:ind w:left="472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7" w:tplc="DEA2B25E">
      <w:start w:val="1"/>
      <w:numFmt w:val="lowerLetter"/>
      <w:lvlText w:val="%8"/>
      <w:lvlJc w:val="left"/>
      <w:pPr>
        <w:ind w:left="544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lvl w:ilvl="8" w:tplc="55EA574C">
      <w:start w:val="1"/>
      <w:numFmt w:val="lowerRoman"/>
      <w:lvlText w:val="%9"/>
      <w:lvlJc w:val="left"/>
      <w:pPr>
        <w:ind w:left="6160" w:firstLine="0"/>
      </w:pPr>
      <w:rPr>
        <w:rFonts w:ascii="Times New Roman" w:eastAsia="Times New Roman" w:hAnsi="Times New Roman" w:cs="Times New Roman"/>
        <w:b w:val="0"/>
        <w:i w:val="0"/>
        <w:strike w:val="0"/>
        <w:dstrike w:val="0"/>
        <w:color w:val="000000"/>
        <w:sz w:val="15"/>
        <w:szCs w:val="15"/>
        <w:u w:val="none" w:color="000000"/>
        <w:effect w:val="none"/>
        <w:bdr w:val="none" w:sz="0" w:space="0" w:color="auto" w:frame="1"/>
        <w:vertAlign w:val="baseline"/>
      </w:rPr>
    </w:lvl>
  </w:abstractNum>
  <w:abstractNum w:abstractNumId="5" w15:restartNumberingAfterBreak="0">
    <w:nsid w:val="111E5DA9"/>
    <w:multiLevelType w:val="hybridMultilevel"/>
    <w:tmpl w:val="A872A5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1BA47D4"/>
    <w:multiLevelType w:val="hybridMultilevel"/>
    <w:tmpl w:val="FF52A5E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251705E"/>
    <w:multiLevelType w:val="hybridMultilevel"/>
    <w:tmpl w:val="1F8C7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CB6951"/>
    <w:multiLevelType w:val="multilevel"/>
    <w:tmpl w:val="07185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2002A0"/>
    <w:multiLevelType w:val="hybridMultilevel"/>
    <w:tmpl w:val="68760228"/>
    <w:lvl w:ilvl="0" w:tplc="1A406F94">
      <w:start w:val="1"/>
      <w:numFmt w:val="decimal"/>
      <w:lvlText w:val="%1."/>
      <w:lvlJc w:val="left"/>
      <w:pPr>
        <w:ind w:left="720" w:hanging="360"/>
      </w:pPr>
    </w:lvl>
    <w:lvl w:ilvl="1" w:tplc="10B65168">
      <w:start w:val="1"/>
      <w:numFmt w:val="lowerLetter"/>
      <w:lvlText w:val="%2."/>
      <w:lvlJc w:val="left"/>
      <w:pPr>
        <w:ind w:left="1440" w:hanging="360"/>
      </w:pPr>
    </w:lvl>
    <w:lvl w:ilvl="2" w:tplc="5E4ABCAA">
      <w:start w:val="1"/>
      <w:numFmt w:val="lowerRoman"/>
      <w:lvlText w:val="%3."/>
      <w:lvlJc w:val="right"/>
      <w:pPr>
        <w:ind w:left="2160" w:hanging="180"/>
      </w:pPr>
    </w:lvl>
    <w:lvl w:ilvl="3" w:tplc="36885694">
      <w:start w:val="1"/>
      <w:numFmt w:val="decimal"/>
      <w:lvlText w:val="%4."/>
      <w:lvlJc w:val="left"/>
      <w:pPr>
        <w:ind w:left="2880" w:hanging="360"/>
      </w:pPr>
    </w:lvl>
    <w:lvl w:ilvl="4" w:tplc="033A00D2">
      <w:start w:val="1"/>
      <w:numFmt w:val="lowerLetter"/>
      <w:lvlText w:val="%5."/>
      <w:lvlJc w:val="left"/>
      <w:pPr>
        <w:ind w:left="3600" w:hanging="360"/>
      </w:pPr>
    </w:lvl>
    <w:lvl w:ilvl="5" w:tplc="DA78B116">
      <w:start w:val="1"/>
      <w:numFmt w:val="lowerRoman"/>
      <w:lvlText w:val="%6."/>
      <w:lvlJc w:val="right"/>
      <w:pPr>
        <w:ind w:left="4320" w:hanging="180"/>
      </w:pPr>
    </w:lvl>
    <w:lvl w:ilvl="6" w:tplc="19FC4488">
      <w:start w:val="1"/>
      <w:numFmt w:val="decimal"/>
      <w:lvlText w:val="%7."/>
      <w:lvlJc w:val="left"/>
      <w:pPr>
        <w:ind w:left="5040" w:hanging="360"/>
      </w:pPr>
    </w:lvl>
    <w:lvl w:ilvl="7" w:tplc="98F462EC">
      <w:start w:val="1"/>
      <w:numFmt w:val="lowerLetter"/>
      <w:lvlText w:val="%8."/>
      <w:lvlJc w:val="left"/>
      <w:pPr>
        <w:ind w:left="5760" w:hanging="360"/>
      </w:pPr>
    </w:lvl>
    <w:lvl w:ilvl="8" w:tplc="92EAB300">
      <w:start w:val="1"/>
      <w:numFmt w:val="lowerRoman"/>
      <w:lvlText w:val="%9."/>
      <w:lvlJc w:val="right"/>
      <w:pPr>
        <w:ind w:left="6480" w:hanging="180"/>
      </w:pPr>
    </w:lvl>
  </w:abstractNum>
  <w:abstractNum w:abstractNumId="10" w15:restartNumberingAfterBreak="0">
    <w:nsid w:val="160E4B2D"/>
    <w:multiLevelType w:val="hybridMultilevel"/>
    <w:tmpl w:val="7D848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6AF5BAB"/>
    <w:multiLevelType w:val="hybridMultilevel"/>
    <w:tmpl w:val="2D8A7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A448E0"/>
    <w:multiLevelType w:val="hybridMultilevel"/>
    <w:tmpl w:val="F72E2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A475C5"/>
    <w:multiLevelType w:val="multilevel"/>
    <w:tmpl w:val="9E92B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DA57B0D"/>
    <w:multiLevelType w:val="hybridMultilevel"/>
    <w:tmpl w:val="D13A1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0901E5"/>
    <w:multiLevelType w:val="hybridMultilevel"/>
    <w:tmpl w:val="777676E8"/>
    <w:lvl w:ilvl="0" w:tplc="B2D04BD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1C4D38"/>
    <w:multiLevelType w:val="hybridMultilevel"/>
    <w:tmpl w:val="23362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FC6A8F"/>
    <w:multiLevelType w:val="hybridMultilevel"/>
    <w:tmpl w:val="89506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471A10"/>
    <w:multiLevelType w:val="hybridMultilevel"/>
    <w:tmpl w:val="34E813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AA66A9F"/>
    <w:multiLevelType w:val="hybridMultilevel"/>
    <w:tmpl w:val="2B96A5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242EBB"/>
    <w:multiLevelType w:val="hybridMultilevel"/>
    <w:tmpl w:val="E0E40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E160F7"/>
    <w:multiLevelType w:val="hybridMultilevel"/>
    <w:tmpl w:val="75A47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AD5246"/>
    <w:multiLevelType w:val="hybridMultilevel"/>
    <w:tmpl w:val="133A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2A120D"/>
    <w:multiLevelType w:val="hybridMultilevel"/>
    <w:tmpl w:val="45A8AFDA"/>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887FC0"/>
    <w:multiLevelType w:val="hybridMultilevel"/>
    <w:tmpl w:val="749CE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F11345"/>
    <w:multiLevelType w:val="hybridMultilevel"/>
    <w:tmpl w:val="C8D05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8376159"/>
    <w:multiLevelType w:val="hybridMultilevel"/>
    <w:tmpl w:val="A1245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8AF51AA"/>
    <w:multiLevelType w:val="hybridMultilevel"/>
    <w:tmpl w:val="494C6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EC46EE"/>
    <w:multiLevelType w:val="hybridMultilevel"/>
    <w:tmpl w:val="CCB4B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184D7D"/>
    <w:multiLevelType w:val="hybridMultilevel"/>
    <w:tmpl w:val="CE7AA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4B2349"/>
    <w:multiLevelType w:val="hybridMultilevel"/>
    <w:tmpl w:val="B2CE410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7CD37AF"/>
    <w:multiLevelType w:val="hybridMultilevel"/>
    <w:tmpl w:val="EF567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F53455"/>
    <w:multiLevelType w:val="hybridMultilevel"/>
    <w:tmpl w:val="BF664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477696"/>
    <w:multiLevelType w:val="hybridMultilevel"/>
    <w:tmpl w:val="5476A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F645F0"/>
    <w:multiLevelType w:val="hybridMultilevel"/>
    <w:tmpl w:val="A7B42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FB67A5"/>
    <w:multiLevelType w:val="hybridMultilevel"/>
    <w:tmpl w:val="C024B690"/>
    <w:lvl w:ilvl="0" w:tplc="39A0FDAC">
      <w:start w:val="1"/>
      <w:numFmt w:val="bullet"/>
      <w:lvlText w:val="●"/>
      <w:lvlJc w:val="left"/>
      <w:pPr>
        <w:ind w:left="840" w:hanging="360"/>
      </w:pPr>
      <w:rPr>
        <w:rFonts w:ascii="Calibri" w:eastAsia="Calibri" w:hAnsi="Calibri" w:hint="default"/>
        <w:w w:val="99"/>
        <w:sz w:val="24"/>
        <w:szCs w:val="24"/>
      </w:rPr>
    </w:lvl>
    <w:lvl w:ilvl="1" w:tplc="561841F2">
      <w:start w:val="1"/>
      <w:numFmt w:val="bullet"/>
      <w:lvlText w:val="•"/>
      <w:lvlJc w:val="left"/>
      <w:pPr>
        <w:ind w:left="1716" w:hanging="360"/>
      </w:pPr>
      <w:rPr>
        <w:rFonts w:hint="default"/>
      </w:rPr>
    </w:lvl>
    <w:lvl w:ilvl="2" w:tplc="75B29A9A">
      <w:start w:val="1"/>
      <w:numFmt w:val="bullet"/>
      <w:lvlText w:val="•"/>
      <w:lvlJc w:val="left"/>
      <w:pPr>
        <w:ind w:left="2592" w:hanging="360"/>
      </w:pPr>
      <w:rPr>
        <w:rFonts w:hint="default"/>
      </w:rPr>
    </w:lvl>
    <w:lvl w:ilvl="3" w:tplc="6F381002">
      <w:start w:val="1"/>
      <w:numFmt w:val="bullet"/>
      <w:lvlText w:val="•"/>
      <w:lvlJc w:val="left"/>
      <w:pPr>
        <w:ind w:left="3468" w:hanging="360"/>
      </w:pPr>
      <w:rPr>
        <w:rFonts w:hint="default"/>
      </w:rPr>
    </w:lvl>
    <w:lvl w:ilvl="4" w:tplc="9B045328">
      <w:start w:val="1"/>
      <w:numFmt w:val="bullet"/>
      <w:lvlText w:val="•"/>
      <w:lvlJc w:val="left"/>
      <w:pPr>
        <w:ind w:left="4344" w:hanging="360"/>
      </w:pPr>
      <w:rPr>
        <w:rFonts w:hint="default"/>
      </w:rPr>
    </w:lvl>
    <w:lvl w:ilvl="5" w:tplc="7714C634">
      <w:start w:val="1"/>
      <w:numFmt w:val="bullet"/>
      <w:lvlText w:val="•"/>
      <w:lvlJc w:val="left"/>
      <w:pPr>
        <w:ind w:left="5220" w:hanging="360"/>
      </w:pPr>
      <w:rPr>
        <w:rFonts w:hint="default"/>
      </w:rPr>
    </w:lvl>
    <w:lvl w:ilvl="6" w:tplc="461647C8">
      <w:start w:val="1"/>
      <w:numFmt w:val="bullet"/>
      <w:lvlText w:val="•"/>
      <w:lvlJc w:val="left"/>
      <w:pPr>
        <w:ind w:left="6096" w:hanging="360"/>
      </w:pPr>
      <w:rPr>
        <w:rFonts w:hint="default"/>
      </w:rPr>
    </w:lvl>
    <w:lvl w:ilvl="7" w:tplc="3C76C748">
      <w:start w:val="1"/>
      <w:numFmt w:val="bullet"/>
      <w:lvlText w:val="•"/>
      <w:lvlJc w:val="left"/>
      <w:pPr>
        <w:ind w:left="6972" w:hanging="360"/>
      </w:pPr>
      <w:rPr>
        <w:rFonts w:hint="default"/>
      </w:rPr>
    </w:lvl>
    <w:lvl w:ilvl="8" w:tplc="9334B8AC">
      <w:start w:val="1"/>
      <w:numFmt w:val="bullet"/>
      <w:lvlText w:val="•"/>
      <w:lvlJc w:val="left"/>
      <w:pPr>
        <w:ind w:left="7848" w:hanging="360"/>
      </w:pPr>
      <w:rPr>
        <w:rFonts w:hint="default"/>
      </w:rPr>
    </w:lvl>
  </w:abstractNum>
  <w:abstractNum w:abstractNumId="36" w15:restartNumberingAfterBreak="0">
    <w:nsid w:val="523A418F"/>
    <w:multiLevelType w:val="hybridMultilevel"/>
    <w:tmpl w:val="BF083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5E4B49"/>
    <w:multiLevelType w:val="multilevel"/>
    <w:tmpl w:val="E4BEF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BD96BF8"/>
    <w:multiLevelType w:val="hybridMultilevel"/>
    <w:tmpl w:val="D494CA96"/>
    <w:lvl w:ilvl="0" w:tplc="567C3314">
      <w:start w:val="1"/>
      <w:numFmt w:val="bullet"/>
      <w:pStyle w:val="Bulletedlist"/>
      <w:lvlText w:val=""/>
      <w:lvlJc w:val="left"/>
      <w:pPr>
        <w:ind w:left="720" w:hanging="360"/>
      </w:pPr>
      <w:rPr>
        <w:rFonts w:ascii="Symbol" w:hAnsi="Symbol" w:hint="default"/>
      </w:rPr>
    </w:lvl>
    <w:lvl w:ilvl="1" w:tplc="8CC4CC6A">
      <w:numFmt w:val="bullet"/>
      <w:lvlText w:val="•"/>
      <w:lvlJc w:val="left"/>
      <w:pPr>
        <w:ind w:left="1800" w:hanging="72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FC436E9"/>
    <w:multiLevelType w:val="hybridMultilevel"/>
    <w:tmpl w:val="9B686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172FF2"/>
    <w:multiLevelType w:val="hybridMultilevel"/>
    <w:tmpl w:val="C394A7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4EE55E2"/>
    <w:multiLevelType w:val="hybridMultilevel"/>
    <w:tmpl w:val="02BAFD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FA321F0"/>
    <w:multiLevelType w:val="hybridMultilevel"/>
    <w:tmpl w:val="F7622E22"/>
    <w:lvl w:ilvl="0" w:tplc="5318448A">
      <w:start w:val="1"/>
      <w:numFmt w:val="decimal"/>
      <w:lvlText w:val="%1."/>
      <w:lvlJc w:val="left"/>
      <w:pPr>
        <w:ind w:left="240" w:hanging="360"/>
      </w:pPr>
      <w:rPr>
        <w:rFonts w:hint="default"/>
      </w:rPr>
    </w:lvl>
    <w:lvl w:ilvl="1" w:tplc="04090019" w:tentative="1">
      <w:start w:val="1"/>
      <w:numFmt w:val="lowerLetter"/>
      <w:lvlText w:val="%2."/>
      <w:lvlJc w:val="left"/>
      <w:pPr>
        <w:ind w:left="960" w:hanging="360"/>
      </w:pPr>
    </w:lvl>
    <w:lvl w:ilvl="2" w:tplc="0409001B" w:tentative="1">
      <w:start w:val="1"/>
      <w:numFmt w:val="lowerRoman"/>
      <w:lvlText w:val="%3."/>
      <w:lvlJc w:val="right"/>
      <w:pPr>
        <w:ind w:left="1680" w:hanging="180"/>
      </w:pPr>
    </w:lvl>
    <w:lvl w:ilvl="3" w:tplc="0409000F" w:tentative="1">
      <w:start w:val="1"/>
      <w:numFmt w:val="decimal"/>
      <w:lvlText w:val="%4."/>
      <w:lvlJc w:val="left"/>
      <w:pPr>
        <w:ind w:left="2400" w:hanging="360"/>
      </w:pPr>
    </w:lvl>
    <w:lvl w:ilvl="4" w:tplc="04090019" w:tentative="1">
      <w:start w:val="1"/>
      <w:numFmt w:val="lowerLetter"/>
      <w:lvlText w:val="%5."/>
      <w:lvlJc w:val="left"/>
      <w:pPr>
        <w:ind w:left="3120" w:hanging="360"/>
      </w:pPr>
    </w:lvl>
    <w:lvl w:ilvl="5" w:tplc="0409001B" w:tentative="1">
      <w:start w:val="1"/>
      <w:numFmt w:val="lowerRoman"/>
      <w:lvlText w:val="%6."/>
      <w:lvlJc w:val="right"/>
      <w:pPr>
        <w:ind w:left="3840" w:hanging="180"/>
      </w:pPr>
    </w:lvl>
    <w:lvl w:ilvl="6" w:tplc="0409000F" w:tentative="1">
      <w:start w:val="1"/>
      <w:numFmt w:val="decimal"/>
      <w:lvlText w:val="%7."/>
      <w:lvlJc w:val="left"/>
      <w:pPr>
        <w:ind w:left="4560" w:hanging="360"/>
      </w:pPr>
    </w:lvl>
    <w:lvl w:ilvl="7" w:tplc="04090019" w:tentative="1">
      <w:start w:val="1"/>
      <w:numFmt w:val="lowerLetter"/>
      <w:lvlText w:val="%8."/>
      <w:lvlJc w:val="left"/>
      <w:pPr>
        <w:ind w:left="5280" w:hanging="360"/>
      </w:pPr>
    </w:lvl>
    <w:lvl w:ilvl="8" w:tplc="0409001B" w:tentative="1">
      <w:start w:val="1"/>
      <w:numFmt w:val="lowerRoman"/>
      <w:lvlText w:val="%9."/>
      <w:lvlJc w:val="right"/>
      <w:pPr>
        <w:ind w:left="6000" w:hanging="180"/>
      </w:pPr>
    </w:lvl>
  </w:abstractNum>
  <w:abstractNum w:abstractNumId="43" w15:restartNumberingAfterBreak="0">
    <w:nsid w:val="6FB07804"/>
    <w:multiLevelType w:val="hybridMultilevel"/>
    <w:tmpl w:val="AD72598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6FF67336"/>
    <w:multiLevelType w:val="hybridMultilevel"/>
    <w:tmpl w:val="3F0881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0A37255"/>
    <w:multiLevelType w:val="hybridMultilevel"/>
    <w:tmpl w:val="CAC2086A"/>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6" w15:restartNumberingAfterBreak="0">
    <w:nsid w:val="70EE2EB3"/>
    <w:multiLevelType w:val="hybridMultilevel"/>
    <w:tmpl w:val="984AC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63B0748"/>
    <w:multiLevelType w:val="hybridMultilevel"/>
    <w:tmpl w:val="E9E2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72C359A"/>
    <w:multiLevelType w:val="hybridMultilevel"/>
    <w:tmpl w:val="3CE80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B46F958"/>
    <w:multiLevelType w:val="hybridMultilevel"/>
    <w:tmpl w:val="CD909DF4"/>
    <w:lvl w:ilvl="0" w:tplc="3AC62044">
      <w:start w:val="1"/>
      <w:numFmt w:val="decimal"/>
      <w:lvlText w:val="%1."/>
      <w:lvlJc w:val="left"/>
      <w:pPr>
        <w:ind w:left="720" w:hanging="360"/>
      </w:pPr>
    </w:lvl>
    <w:lvl w:ilvl="1" w:tplc="2BC6BFFC">
      <w:start w:val="1"/>
      <w:numFmt w:val="lowerLetter"/>
      <w:lvlText w:val="%2."/>
      <w:lvlJc w:val="left"/>
      <w:pPr>
        <w:ind w:left="1440" w:hanging="360"/>
      </w:pPr>
    </w:lvl>
    <w:lvl w:ilvl="2" w:tplc="D28A8F52">
      <w:start w:val="1"/>
      <w:numFmt w:val="lowerRoman"/>
      <w:lvlText w:val="%3."/>
      <w:lvlJc w:val="right"/>
      <w:pPr>
        <w:ind w:left="2160" w:hanging="180"/>
      </w:pPr>
    </w:lvl>
    <w:lvl w:ilvl="3" w:tplc="A57CEE76">
      <w:start w:val="1"/>
      <w:numFmt w:val="decimal"/>
      <w:lvlText w:val="%4."/>
      <w:lvlJc w:val="left"/>
      <w:pPr>
        <w:ind w:left="2880" w:hanging="360"/>
      </w:pPr>
    </w:lvl>
    <w:lvl w:ilvl="4" w:tplc="B5E6BDDC">
      <w:start w:val="1"/>
      <w:numFmt w:val="lowerLetter"/>
      <w:lvlText w:val="%5."/>
      <w:lvlJc w:val="left"/>
      <w:pPr>
        <w:ind w:left="3600" w:hanging="360"/>
      </w:pPr>
    </w:lvl>
    <w:lvl w:ilvl="5" w:tplc="2196C438">
      <w:start w:val="1"/>
      <w:numFmt w:val="lowerRoman"/>
      <w:lvlText w:val="%6."/>
      <w:lvlJc w:val="right"/>
      <w:pPr>
        <w:ind w:left="4320" w:hanging="180"/>
      </w:pPr>
    </w:lvl>
    <w:lvl w:ilvl="6" w:tplc="3470361A">
      <w:start w:val="1"/>
      <w:numFmt w:val="decimal"/>
      <w:lvlText w:val="%7."/>
      <w:lvlJc w:val="left"/>
      <w:pPr>
        <w:ind w:left="5040" w:hanging="360"/>
      </w:pPr>
    </w:lvl>
    <w:lvl w:ilvl="7" w:tplc="F2AE9814">
      <w:start w:val="1"/>
      <w:numFmt w:val="lowerLetter"/>
      <w:lvlText w:val="%8."/>
      <w:lvlJc w:val="left"/>
      <w:pPr>
        <w:ind w:left="5760" w:hanging="360"/>
      </w:pPr>
    </w:lvl>
    <w:lvl w:ilvl="8" w:tplc="A83A4780">
      <w:start w:val="1"/>
      <w:numFmt w:val="lowerRoman"/>
      <w:lvlText w:val="%9."/>
      <w:lvlJc w:val="right"/>
      <w:pPr>
        <w:ind w:left="6480" w:hanging="180"/>
      </w:pPr>
    </w:lvl>
  </w:abstractNum>
  <w:abstractNum w:abstractNumId="50" w15:restartNumberingAfterBreak="0">
    <w:nsid w:val="7FFC28A2"/>
    <w:multiLevelType w:val="multilevel"/>
    <w:tmpl w:val="F4D4ED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687097508">
    <w:abstractNumId w:val="49"/>
  </w:num>
  <w:num w:numId="2" w16cid:durableId="1646624546">
    <w:abstractNumId w:val="9"/>
  </w:num>
  <w:num w:numId="3" w16cid:durableId="1036732774">
    <w:abstractNumId w:val="45"/>
  </w:num>
  <w:num w:numId="4" w16cid:durableId="2085370675">
    <w:abstractNumId w:val="35"/>
  </w:num>
  <w:num w:numId="5" w16cid:durableId="334573573">
    <w:abstractNumId w:val="47"/>
  </w:num>
  <w:num w:numId="6" w16cid:durableId="1748266789">
    <w:abstractNumId w:val="22"/>
  </w:num>
  <w:num w:numId="7" w16cid:durableId="580065971">
    <w:abstractNumId w:val="19"/>
  </w:num>
  <w:num w:numId="8" w16cid:durableId="2003700665">
    <w:abstractNumId w:val="23"/>
  </w:num>
  <w:num w:numId="9" w16cid:durableId="846746527">
    <w:abstractNumId w:val="18"/>
  </w:num>
  <w:num w:numId="10" w16cid:durableId="1524898150">
    <w:abstractNumId w:val="26"/>
  </w:num>
  <w:num w:numId="11" w16cid:durableId="75175246">
    <w:abstractNumId w:val="33"/>
  </w:num>
  <w:num w:numId="12" w16cid:durableId="601499786">
    <w:abstractNumId w:val="36"/>
  </w:num>
  <w:num w:numId="13" w16cid:durableId="2097164087">
    <w:abstractNumId w:val="50"/>
  </w:num>
  <w:num w:numId="14" w16cid:durableId="1759863025">
    <w:abstractNumId w:val="30"/>
  </w:num>
  <w:num w:numId="15" w16cid:durableId="2080593379">
    <w:abstractNumId w:val="32"/>
  </w:num>
  <w:num w:numId="16" w16cid:durableId="749083227">
    <w:abstractNumId w:val="24"/>
  </w:num>
  <w:num w:numId="17" w16cid:durableId="1626621793">
    <w:abstractNumId w:val="29"/>
  </w:num>
  <w:num w:numId="18" w16cid:durableId="1936208958">
    <w:abstractNumId w:val="20"/>
  </w:num>
  <w:num w:numId="19" w16cid:durableId="400178168">
    <w:abstractNumId w:val="21"/>
  </w:num>
  <w:num w:numId="20" w16cid:durableId="1491948527">
    <w:abstractNumId w:val="2"/>
  </w:num>
  <w:num w:numId="21" w16cid:durableId="91433850">
    <w:abstractNumId w:val="28"/>
  </w:num>
  <w:num w:numId="22" w16cid:durableId="1705252149">
    <w:abstractNumId w:val="48"/>
  </w:num>
  <w:num w:numId="23" w16cid:durableId="1341931594">
    <w:abstractNumId w:val="46"/>
  </w:num>
  <w:num w:numId="24" w16cid:durableId="2055157285">
    <w:abstractNumId w:val="10"/>
  </w:num>
  <w:num w:numId="25" w16cid:durableId="907494910">
    <w:abstractNumId w:val="5"/>
  </w:num>
  <w:num w:numId="26" w16cid:durableId="175579515">
    <w:abstractNumId w:val="44"/>
  </w:num>
  <w:num w:numId="27" w16cid:durableId="2080783788">
    <w:abstractNumId w:val="6"/>
  </w:num>
  <w:num w:numId="28" w16cid:durableId="2033803244">
    <w:abstractNumId w:val="3"/>
  </w:num>
  <w:num w:numId="29" w16cid:durableId="310989474">
    <w:abstractNumId w:val="39"/>
  </w:num>
  <w:num w:numId="30" w16cid:durableId="1418208257">
    <w:abstractNumId w:val="34"/>
  </w:num>
  <w:num w:numId="31" w16cid:durableId="904879054">
    <w:abstractNumId w:val="15"/>
  </w:num>
  <w:num w:numId="32" w16cid:durableId="4568739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73584955">
    <w:abstractNumId w:val="40"/>
  </w:num>
  <w:num w:numId="34" w16cid:durableId="1024596696">
    <w:abstractNumId w:val="13"/>
  </w:num>
  <w:num w:numId="35" w16cid:durableId="1988393909">
    <w:abstractNumId w:val="37"/>
  </w:num>
  <w:num w:numId="36" w16cid:durableId="272716521">
    <w:abstractNumId w:val="1"/>
  </w:num>
  <w:num w:numId="37" w16cid:durableId="838348293">
    <w:abstractNumId w:val="17"/>
  </w:num>
  <w:num w:numId="38" w16cid:durableId="458573914">
    <w:abstractNumId w:val="41"/>
  </w:num>
  <w:num w:numId="39" w16cid:durableId="1115977725">
    <w:abstractNumId w:val="7"/>
  </w:num>
  <w:num w:numId="40" w16cid:durableId="1293174678">
    <w:abstractNumId w:val="25"/>
  </w:num>
  <w:num w:numId="41" w16cid:durableId="1932084403">
    <w:abstractNumId w:val="31"/>
  </w:num>
  <w:num w:numId="42" w16cid:durableId="1103957453">
    <w:abstractNumId w:val="14"/>
  </w:num>
  <w:num w:numId="43" w16cid:durableId="1792816632">
    <w:abstractNumId w:val="16"/>
  </w:num>
  <w:num w:numId="44" w16cid:durableId="2035764712">
    <w:abstractNumId w:val="43"/>
  </w:num>
  <w:num w:numId="45" w16cid:durableId="1814054660">
    <w:abstractNumId w:val="38"/>
  </w:num>
  <w:num w:numId="46" w16cid:durableId="1629554577">
    <w:abstractNumId w:val="11"/>
  </w:num>
  <w:num w:numId="47" w16cid:durableId="1355226733">
    <w:abstractNumId w:val="27"/>
  </w:num>
  <w:num w:numId="48" w16cid:durableId="15426323">
    <w:abstractNumId w:val="12"/>
  </w:num>
  <w:num w:numId="49" w16cid:durableId="982470031">
    <w:abstractNumId w:val="42"/>
  </w:num>
  <w:num w:numId="50" w16cid:durableId="1002732702">
    <w:abstractNumId w:val="0"/>
  </w:num>
  <w:num w:numId="51" w16cid:durableId="32343160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78A"/>
    <w:rsid w:val="00014B99"/>
    <w:rsid w:val="00021B92"/>
    <w:rsid w:val="00023101"/>
    <w:rsid w:val="00025D96"/>
    <w:rsid w:val="0003790A"/>
    <w:rsid w:val="00041294"/>
    <w:rsid w:val="00067F9D"/>
    <w:rsid w:val="0008583C"/>
    <w:rsid w:val="00094A11"/>
    <w:rsid w:val="000C6F04"/>
    <w:rsid w:val="000E6324"/>
    <w:rsid w:val="000F59BC"/>
    <w:rsid w:val="001042FE"/>
    <w:rsid w:val="00111B9D"/>
    <w:rsid w:val="00133BB2"/>
    <w:rsid w:val="001473AB"/>
    <w:rsid w:val="0014767B"/>
    <w:rsid w:val="0015347C"/>
    <w:rsid w:val="00160CA2"/>
    <w:rsid w:val="001809E3"/>
    <w:rsid w:val="001A5683"/>
    <w:rsid w:val="001A6F17"/>
    <w:rsid w:val="001B06EF"/>
    <w:rsid w:val="001B256E"/>
    <w:rsid w:val="001C7EB0"/>
    <w:rsid w:val="00207126"/>
    <w:rsid w:val="002076CF"/>
    <w:rsid w:val="00211B80"/>
    <w:rsid w:val="00225BEB"/>
    <w:rsid w:val="00227A4A"/>
    <w:rsid w:val="002311F6"/>
    <w:rsid w:val="00245A84"/>
    <w:rsid w:val="0025173D"/>
    <w:rsid w:val="002622C6"/>
    <w:rsid w:val="00264608"/>
    <w:rsid w:val="00265F53"/>
    <w:rsid w:val="00277972"/>
    <w:rsid w:val="00277992"/>
    <w:rsid w:val="002970A1"/>
    <w:rsid w:val="002B0F75"/>
    <w:rsid w:val="002C01C0"/>
    <w:rsid w:val="002D1216"/>
    <w:rsid w:val="0032203B"/>
    <w:rsid w:val="00340077"/>
    <w:rsid w:val="0036057F"/>
    <w:rsid w:val="00377BF8"/>
    <w:rsid w:val="003B795A"/>
    <w:rsid w:val="003C0233"/>
    <w:rsid w:val="003C4451"/>
    <w:rsid w:val="003D3C04"/>
    <w:rsid w:val="003E0A73"/>
    <w:rsid w:val="003F11EF"/>
    <w:rsid w:val="003F2BC1"/>
    <w:rsid w:val="003F351E"/>
    <w:rsid w:val="003F697F"/>
    <w:rsid w:val="0040376A"/>
    <w:rsid w:val="00416EBD"/>
    <w:rsid w:val="00421DE8"/>
    <w:rsid w:val="004269E4"/>
    <w:rsid w:val="00436737"/>
    <w:rsid w:val="004447E8"/>
    <w:rsid w:val="0044578A"/>
    <w:rsid w:val="00462E47"/>
    <w:rsid w:val="004805A1"/>
    <w:rsid w:val="00485FCE"/>
    <w:rsid w:val="004A19A2"/>
    <w:rsid w:val="004B3F3A"/>
    <w:rsid w:val="004C382C"/>
    <w:rsid w:val="004F3B37"/>
    <w:rsid w:val="00534756"/>
    <w:rsid w:val="0054021C"/>
    <w:rsid w:val="00543141"/>
    <w:rsid w:val="00551D25"/>
    <w:rsid w:val="00554357"/>
    <w:rsid w:val="00554C29"/>
    <w:rsid w:val="00560B8C"/>
    <w:rsid w:val="00585420"/>
    <w:rsid w:val="00591C66"/>
    <w:rsid w:val="005B0238"/>
    <w:rsid w:val="005D23FC"/>
    <w:rsid w:val="005F2B59"/>
    <w:rsid w:val="005F37E0"/>
    <w:rsid w:val="006067ED"/>
    <w:rsid w:val="0063342B"/>
    <w:rsid w:val="00637A18"/>
    <w:rsid w:val="006417A0"/>
    <w:rsid w:val="00641AF7"/>
    <w:rsid w:val="006448A8"/>
    <w:rsid w:val="0064563F"/>
    <w:rsid w:val="00656A75"/>
    <w:rsid w:val="0066420E"/>
    <w:rsid w:val="00665160"/>
    <w:rsid w:val="0066680A"/>
    <w:rsid w:val="00673CFC"/>
    <w:rsid w:val="00684AAB"/>
    <w:rsid w:val="00684AF9"/>
    <w:rsid w:val="00684BC5"/>
    <w:rsid w:val="006A2C14"/>
    <w:rsid w:val="006E3400"/>
    <w:rsid w:val="006E352B"/>
    <w:rsid w:val="00700293"/>
    <w:rsid w:val="0073321F"/>
    <w:rsid w:val="0073662F"/>
    <w:rsid w:val="007411E7"/>
    <w:rsid w:val="00752D64"/>
    <w:rsid w:val="007602FE"/>
    <w:rsid w:val="00780E69"/>
    <w:rsid w:val="007A4951"/>
    <w:rsid w:val="007A4A09"/>
    <w:rsid w:val="007B26A4"/>
    <w:rsid w:val="007C3AC5"/>
    <w:rsid w:val="007E3F9F"/>
    <w:rsid w:val="00833840"/>
    <w:rsid w:val="0086163D"/>
    <w:rsid w:val="00861CD3"/>
    <w:rsid w:val="00871501"/>
    <w:rsid w:val="008766A6"/>
    <w:rsid w:val="008801E0"/>
    <w:rsid w:val="00881B67"/>
    <w:rsid w:val="0088540E"/>
    <w:rsid w:val="008A1FAF"/>
    <w:rsid w:val="00906B07"/>
    <w:rsid w:val="009166A4"/>
    <w:rsid w:val="00916C80"/>
    <w:rsid w:val="00944AF4"/>
    <w:rsid w:val="00946CAF"/>
    <w:rsid w:val="00947196"/>
    <w:rsid w:val="00977CBD"/>
    <w:rsid w:val="009832C0"/>
    <w:rsid w:val="00983692"/>
    <w:rsid w:val="009A15D8"/>
    <w:rsid w:val="009B377C"/>
    <w:rsid w:val="009B738C"/>
    <w:rsid w:val="009D3B79"/>
    <w:rsid w:val="009D7103"/>
    <w:rsid w:val="009E5582"/>
    <w:rsid w:val="009E7B39"/>
    <w:rsid w:val="009F39F7"/>
    <w:rsid w:val="00A2745C"/>
    <w:rsid w:val="00A56048"/>
    <w:rsid w:val="00A70646"/>
    <w:rsid w:val="00A71F65"/>
    <w:rsid w:val="00A868FB"/>
    <w:rsid w:val="00AB4622"/>
    <w:rsid w:val="00AB66B5"/>
    <w:rsid w:val="00AC13AF"/>
    <w:rsid w:val="00AC1840"/>
    <w:rsid w:val="00AC57FC"/>
    <w:rsid w:val="00AD3327"/>
    <w:rsid w:val="00AE4DFD"/>
    <w:rsid w:val="00AE54A3"/>
    <w:rsid w:val="00AE75F3"/>
    <w:rsid w:val="00B02AFB"/>
    <w:rsid w:val="00B10A77"/>
    <w:rsid w:val="00B46A42"/>
    <w:rsid w:val="00B74F4B"/>
    <w:rsid w:val="00B75A06"/>
    <w:rsid w:val="00B93217"/>
    <w:rsid w:val="00B94072"/>
    <w:rsid w:val="00B944E5"/>
    <w:rsid w:val="00BC32FA"/>
    <w:rsid w:val="00BD704D"/>
    <w:rsid w:val="00BF4BE7"/>
    <w:rsid w:val="00C33651"/>
    <w:rsid w:val="00C44B97"/>
    <w:rsid w:val="00C51DD5"/>
    <w:rsid w:val="00C97C0F"/>
    <w:rsid w:val="00CA48C6"/>
    <w:rsid w:val="00CB7316"/>
    <w:rsid w:val="00CC6D90"/>
    <w:rsid w:val="00CD0FD1"/>
    <w:rsid w:val="00CD1BCF"/>
    <w:rsid w:val="00CD2F5C"/>
    <w:rsid w:val="00CD50A6"/>
    <w:rsid w:val="00CF48FE"/>
    <w:rsid w:val="00D055E7"/>
    <w:rsid w:val="00D1374B"/>
    <w:rsid w:val="00D14271"/>
    <w:rsid w:val="00D436D1"/>
    <w:rsid w:val="00D465BD"/>
    <w:rsid w:val="00D54E65"/>
    <w:rsid w:val="00D611F7"/>
    <w:rsid w:val="00D73510"/>
    <w:rsid w:val="00D86458"/>
    <w:rsid w:val="00D90EF1"/>
    <w:rsid w:val="00D94BBC"/>
    <w:rsid w:val="00DA1070"/>
    <w:rsid w:val="00DB5E43"/>
    <w:rsid w:val="00DC3F98"/>
    <w:rsid w:val="00DD0808"/>
    <w:rsid w:val="00DF52C4"/>
    <w:rsid w:val="00E208F0"/>
    <w:rsid w:val="00E27DC9"/>
    <w:rsid w:val="00E53715"/>
    <w:rsid w:val="00E638D3"/>
    <w:rsid w:val="00E66237"/>
    <w:rsid w:val="00E70674"/>
    <w:rsid w:val="00E818C8"/>
    <w:rsid w:val="00EA0D1B"/>
    <w:rsid w:val="00EA25BB"/>
    <w:rsid w:val="00ED1B2D"/>
    <w:rsid w:val="00ED5984"/>
    <w:rsid w:val="00EF25C8"/>
    <w:rsid w:val="00EF599E"/>
    <w:rsid w:val="00F13D34"/>
    <w:rsid w:val="00F140A5"/>
    <w:rsid w:val="00F236C5"/>
    <w:rsid w:val="00F47D7C"/>
    <w:rsid w:val="00F52F59"/>
    <w:rsid w:val="00F643F9"/>
    <w:rsid w:val="00F67B5B"/>
    <w:rsid w:val="00FB5EC6"/>
    <w:rsid w:val="00FB6438"/>
    <w:rsid w:val="010FF68C"/>
    <w:rsid w:val="0128E7CE"/>
    <w:rsid w:val="0260FA1B"/>
    <w:rsid w:val="027868B3"/>
    <w:rsid w:val="02F616B8"/>
    <w:rsid w:val="02FBDF3E"/>
    <w:rsid w:val="035E7727"/>
    <w:rsid w:val="03607465"/>
    <w:rsid w:val="03C7D46A"/>
    <w:rsid w:val="040448D2"/>
    <w:rsid w:val="04E04ED1"/>
    <w:rsid w:val="050D5B88"/>
    <w:rsid w:val="051AB04E"/>
    <w:rsid w:val="052923B1"/>
    <w:rsid w:val="053C9650"/>
    <w:rsid w:val="05BC96E4"/>
    <w:rsid w:val="05F1D35E"/>
    <w:rsid w:val="0644CE66"/>
    <w:rsid w:val="06480887"/>
    <w:rsid w:val="064C1A86"/>
    <w:rsid w:val="066BD6A5"/>
    <w:rsid w:val="06BDC11B"/>
    <w:rsid w:val="06DB0CF9"/>
    <w:rsid w:val="06E3F3B4"/>
    <w:rsid w:val="074C1C8E"/>
    <w:rsid w:val="074D830F"/>
    <w:rsid w:val="0751B358"/>
    <w:rsid w:val="079D2743"/>
    <w:rsid w:val="07AC04A7"/>
    <w:rsid w:val="0848998C"/>
    <w:rsid w:val="08F2EFF6"/>
    <w:rsid w:val="0A693F9D"/>
    <w:rsid w:val="0AC821D9"/>
    <w:rsid w:val="0B0499B8"/>
    <w:rsid w:val="0B1BBC49"/>
    <w:rsid w:val="0B54FA60"/>
    <w:rsid w:val="0B8BBD94"/>
    <w:rsid w:val="0B9DC1EB"/>
    <w:rsid w:val="0BE57C6C"/>
    <w:rsid w:val="0CBF9400"/>
    <w:rsid w:val="0D2F9BDC"/>
    <w:rsid w:val="0D43A846"/>
    <w:rsid w:val="0D59F44D"/>
    <w:rsid w:val="0DE9E99C"/>
    <w:rsid w:val="0E0F23E5"/>
    <w:rsid w:val="0E217E95"/>
    <w:rsid w:val="0E2448BC"/>
    <w:rsid w:val="0E3A11BF"/>
    <w:rsid w:val="0E88FF26"/>
    <w:rsid w:val="0EE4C81B"/>
    <w:rsid w:val="0EFA9F5E"/>
    <w:rsid w:val="0F0B0C87"/>
    <w:rsid w:val="0F3112A0"/>
    <w:rsid w:val="0FA2203C"/>
    <w:rsid w:val="0FEB7251"/>
    <w:rsid w:val="103956D7"/>
    <w:rsid w:val="105BFCD5"/>
    <w:rsid w:val="109A3EDA"/>
    <w:rsid w:val="110B46A1"/>
    <w:rsid w:val="114386A4"/>
    <w:rsid w:val="11599536"/>
    <w:rsid w:val="11B03FFC"/>
    <w:rsid w:val="12194C1D"/>
    <w:rsid w:val="128D10C1"/>
    <w:rsid w:val="12A4662F"/>
    <w:rsid w:val="133FA4A5"/>
    <w:rsid w:val="1389D2DE"/>
    <w:rsid w:val="13B33B62"/>
    <w:rsid w:val="13F9E527"/>
    <w:rsid w:val="1441A89E"/>
    <w:rsid w:val="14936FD8"/>
    <w:rsid w:val="14BB091E"/>
    <w:rsid w:val="14E9456E"/>
    <w:rsid w:val="150906CE"/>
    <w:rsid w:val="15107F57"/>
    <w:rsid w:val="156B63C3"/>
    <w:rsid w:val="15E1DA9F"/>
    <w:rsid w:val="16B99672"/>
    <w:rsid w:val="16C9ECF3"/>
    <w:rsid w:val="173351A6"/>
    <w:rsid w:val="179D8B01"/>
    <w:rsid w:val="183483EA"/>
    <w:rsid w:val="18832B83"/>
    <w:rsid w:val="18B9D423"/>
    <w:rsid w:val="18CA3FD0"/>
    <w:rsid w:val="193955C8"/>
    <w:rsid w:val="19598E32"/>
    <w:rsid w:val="196269CA"/>
    <w:rsid w:val="19A4DA80"/>
    <w:rsid w:val="19B42052"/>
    <w:rsid w:val="1A8B99B2"/>
    <w:rsid w:val="1B80D6F4"/>
    <w:rsid w:val="1C4EE2D2"/>
    <w:rsid w:val="1D130D45"/>
    <w:rsid w:val="1D279859"/>
    <w:rsid w:val="1D792F9A"/>
    <w:rsid w:val="1D9523C4"/>
    <w:rsid w:val="1DABE51B"/>
    <w:rsid w:val="1DFC2EB0"/>
    <w:rsid w:val="1E06730D"/>
    <w:rsid w:val="1E5B0CC9"/>
    <w:rsid w:val="1EB21B6E"/>
    <w:rsid w:val="1F17C6A3"/>
    <w:rsid w:val="1F5080FD"/>
    <w:rsid w:val="1F720F57"/>
    <w:rsid w:val="1F774258"/>
    <w:rsid w:val="1F922BAA"/>
    <w:rsid w:val="20489487"/>
    <w:rsid w:val="2072BBB5"/>
    <w:rsid w:val="207B0A17"/>
    <w:rsid w:val="20857644"/>
    <w:rsid w:val="2099D428"/>
    <w:rsid w:val="20B6C0CA"/>
    <w:rsid w:val="2139C317"/>
    <w:rsid w:val="21B3A065"/>
    <w:rsid w:val="2231939B"/>
    <w:rsid w:val="227F6A82"/>
    <w:rsid w:val="228421E1"/>
    <w:rsid w:val="231E2E06"/>
    <w:rsid w:val="232D0FE1"/>
    <w:rsid w:val="238E87F6"/>
    <w:rsid w:val="238F5A72"/>
    <w:rsid w:val="23ADA9AE"/>
    <w:rsid w:val="23B7BC2F"/>
    <w:rsid w:val="246EB2C9"/>
    <w:rsid w:val="24749C05"/>
    <w:rsid w:val="24B117DD"/>
    <w:rsid w:val="260AC0DC"/>
    <w:rsid w:val="267AA16E"/>
    <w:rsid w:val="2699A012"/>
    <w:rsid w:val="27A7556F"/>
    <w:rsid w:val="27F708CD"/>
    <w:rsid w:val="28D675F2"/>
    <w:rsid w:val="28E61330"/>
    <w:rsid w:val="299BA7F6"/>
    <w:rsid w:val="2A053601"/>
    <w:rsid w:val="2A2A79C6"/>
    <w:rsid w:val="2A38C118"/>
    <w:rsid w:val="2A3BCB45"/>
    <w:rsid w:val="2A5D0C0C"/>
    <w:rsid w:val="2A77060A"/>
    <w:rsid w:val="2A91BA19"/>
    <w:rsid w:val="2AAE4FA1"/>
    <w:rsid w:val="2ADE52AD"/>
    <w:rsid w:val="2B373C83"/>
    <w:rsid w:val="2C40CD1C"/>
    <w:rsid w:val="2D06886F"/>
    <w:rsid w:val="2D43F743"/>
    <w:rsid w:val="2D8742E7"/>
    <w:rsid w:val="2F33FF0E"/>
    <w:rsid w:val="2F354448"/>
    <w:rsid w:val="2F389C77"/>
    <w:rsid w:val="2F767BD7"/>
    <w:rsid w:val="2FE12899"/>
    <w:rsid w:val="2FF66753"/>
    <w:rsid w:val="3028A714"/>
    <w:rsid w:val="3079478B"/>
    <w:rsid w:val="30804432"/>
    <w:rsid w:val="30AA972F"/>
    <w:rsid w:val="30B36E2C"/>
    <w:rsid w:val="30CA8FA1"/>
    <w:rsid w:val="31FB4F8F"/>
    <w:rsid w:val="32212DCE"/>
    <w:rsid w:val="325A523D"/>
    <w:rsid w:val="325ADA56"/>
    <w:rsid w:val="3284C3BF"/>
    <w:rsid w:val="329609D9"/>
    <w:rsid w:val="32AE9983"/>
    <w:rsid w:val="33172F89"/>
    <w:rsid w:val="335EF500"/>
    <w:rsid w:val="338DEAB8"/>
    <w:rsid w:val="33A93196"/>
    <w:rsid w:val="33B79050"/>
    <w:rsid w:val="33C18557"/>
    <w:rsid w:val="33C2A47E"/>
    <w:rsid w:val="33C7CFD4"/>
    <w:rsid w:val="345232B8"/>
    <w:rsid w:val="353450C4"/>
    <w:rsid w:val="360245D9"/>
    <w:rsid w:val="3638CF11"/>
    <w:rsid w:val="36B78709"/>
    <w:rsid w:val="3759384C"/>
    <w:rsid w:val="37877966"/>
    <w:rsid w:val="37E11E71"/>
    <w:rsid w:val="38221FB4"/>
    <w:rsid w:val="389750E8"/>
    <w:rsid w:val="389F570A"/>
    <w:rsid w:val="38C1F5C7"/>
    <w:rsid w:val="3A3609DF"/>
    <w:rsid w:val="3A48E53A"/>
    <w:rsid w:val="3A686F7F"/>
    <w:rsid w:val="3AA6EC90"/>
    <w:rsid w:val="3AA971D1"/>
    <w:rsid w:val="3AC30392"/>
    <w:rsid w:val="3ACE5E1A"/>
    <w:rsid w:val="3AD51A64"/>
    <w:rsid w:val="3AD5F143"/>
    <w:rsid w:val="3AE6CBB7"/>
    <w:rsid w:val="3B3C7842"/>
    <w:rsid w:val="3BC7B505"/>
    <w:rsid w:val="3BF18EB1"/>
    <w:rsid w:val="3C606006"/>
    <w:rsid w:val="3D0000C9"/>
    <w:rsid w:val="3D0FA56D"/>
    <w:rsid w:val="3D2954D8"/>
    <w:rsid w:val="3D707D0B"/>
    <w:rsid w:val="3E14E080"/>
    <w:rsid w:val="3E47FBA4"/>
    <w:rsid w:val="3F129B51"/>
    <w:rsid w:val="3F2FB6DF"/>
    <w:rsid w:val="3FFCB318"/>
    <w:rsid w:val="40339793"/>
    <w:rsid w:val="4034F13D"/>
    <w:rsid w:val="4094B0D2"/>
    <w:rsid w:val="40A39A31"/>
    <w:rsid w:val="40CCFB94"/>
    <w:rsid w:val="40F5BEDF"/>
    <w:rsid w:val="41393E97"/>
    <w:rsid w:val="417AFCA0"/>
    <w:rsid w:val="41ECF349"/>
    <w:rsid w:val="4212F072"/>
    <w:rsid w:val="42356E1E"/>
    <w:rsid w:val="423942DF"/>
    <w:rsid w:val="4296D355"/>
    <w:rsid w:val="42C8403F"/>
    <w:rsid w:val="42CD9437"/>
    <w:rsid w:val="431CE6A9"/>
    <w:rsid w:val="434F650F"/>
    <w:rsid w:val="43892685"/>
    <w:rsid w:val="43A9AEE5"/>
    <w:rsid w:val="43DEE271"/>
    <w:rsid w:val="441EAC9B"/>
    <w:rsid w:val="44577400"/>
    <w:rsid w:val="46011AB4"/>
    <w:rsid w:val="4622B719"/>
    <w:rsid w:val="46C72B92"/>
    <w:rsid w:val="4769C449"/>
    <w:rsid w:val="47F52209"/>
    <w:rsid w:val="4883AEA1"/>
    <w:rsid w:val="48AA23DA"/>
    <w:rsid w:val="48DAEC29"/>
    <w:rsid w:val="4939C36B"/>
    <w:rsid w:val="4971825D"/>
    <w:rsid w:val="497B7ED2"/>
    <w:rsid w:val="49A97FCC"/>
    <w:rsid w:val="49FA5454"/>
    <w:rsid w:val="4A9BD4F1"/>
    <w:rsid w:val="4AC2DD3C"/>
    <w:rsid w:val="4AE4CEC0"/>
    <w:rsid w:val="4BD41E86"/>
    <w:rsid w:val="4BFC0ECB"/>
    <w:rsid w:val="4C3C5C71"/>
    <w:rsid w:val="4CC1E62C"/>
    <w:rsid w:val="4CE8D180"/>
    <w:rsid w:val="4D0EFFEA"/>
    <w:rsid w:val="4DEF03AA"/>
    <w:rsid w:val="4E1A96BF"/>
    <w:rsid w:val="4E28E343"/>
    <w:rsid w:val="4E684284"/>
    <w:rsid w:val="4E786133"/>
    <w:rsid w:val="4F0BCC46"/>
    <w:rsid w:val="4F532E5B"/>
    <w:rsid w:val="4F6E5AD1"/>
    <w:rsid w:val="4FB16032"/>
    <w:rsid w:val="506AA45A"/>
    <w:rsid w:val="50704D20"/>
    <w:rsid w:val="5078F5F3"/>
    <w:rsid w:val="507A1CC4"/>
    <w:rsid w:val="50ABCD93"/>
    <w:rsid w:val="50B8DE72"/>
    <w:rsid w:val="50BD23CF"/>
    <w:rsid w:val="50D7EDD9"/>
    <w:rsid w:val="511E2043"/>
    <w:rsid w:val="51EF7397"/>
    <w:rsid w:val="520DC8EA"/>
    <w:rsid w:val="522A735E"/>
    <w:rsid w:val="522CE976"/>
    <w:rsid w:val="52481914"/>
    <w:rsid w:val="5306A55A"/>
    <w:rsid w:val="530C7554"/>
    <w:rsid w:val="530E943A"/>
    <w:rsid w:val="5399C377"/>
    <w:rsid w:val="53D234DC"/>
    <w:rsid w:val="5450923C"/>
    <w:rsid w:val="54569CA6"/>
    <w:rsid w:val="545E8813"/>
    <w:rsid w:val="547A2E4B"/>
    <w:rsid w:val="548787D0"/>
    <w:rsid w:val="54968356"/>
    <w:rsid w:val="55225CA4"/>
    <w:rsid w:val="5545610C"/>
    <w:rsid w:val="554BB8B6"/>
    <w:rsid w:val="555D9E19"/>
    <w:rsid w:val="55DAA458"/>
    <w:rsid w:val="55EDDBDE"/>
    <w:rsid w:val="560B37D3"/>
    <w:rsid w:val="565A922B"/>
    <w:rsid w:val="56D28C21"/>
    <w:rsid w:val="5745F830"/>
    <w:rsid w:val="57C6D71A"/>
    <w:rsid w:val="58063B9A"/>
    <w:rsid w:val="58431CB1"/>
    <w:rsid w:val="587865CD"/>
    <w:rsid w:val="590FD0C0"/>
    <w:rsid w:val="5961F57E"/>
    <w:rsid w:val="596E378E"/>
    <w:rsid w:val="59A97895"/>
    <w:rsid w:val="59C75E14"/>
    <w:rsid w:val="5A1C12C9"/>
    <w:rsid w:val="5A2BC9EC"/>
    <w:rsid w:val="5B72E424"/>
    <w:rsid w:val="5BE07CBE"/>
    <w:rsid w:val="5BEC6F29"/>
    <w:rsid w:val="5C64CD98"/>
    <w:rsid w:val="5CBC3E58"/>
    <w:rsid w:val="5CEEE744"/>
    <w:rsid w:val="5D28C0AE"/>
    <w:rsid w:val="5D375697"/>
    <w:rsid w:val="5D3AF0BF"/>
    <w:rsid w:val="5D6D7818"/>
    <w:rsid w:val="5D6FFD3D"/>
    <w:rsid w:val="5D9CE1BD"/>
    <w:rsid w:val="5DA784EA"/>
    <w:rsid w:val="5E2121A1"/>
    <w:rsid w:val="5EC89EC3"/>
    <w:rsid w:val="5ECFA5AA"/>
    <w:rsid w:val="5EFF5D75"/>
    <w:rsid w:val="5F0B19C6"/>
    <w:rsid w:val="5F4A1D07"/>
    <w:rsid w:val="5F72F44B"/>
    <w:rsid w:val="5F802ABF"/>
    <w:rsid w:val="5FD7D18D"/>
    <w:rsid w:val="6096EB5A"/>
    <w:rsid w:val="60FE7955"/>
    <w:rsid w:val="6121F1F8"/>
    <w:rsid w:val="6169042C"/>
    <w:rsid w:val="616D3B40"/>
    <w:rsid w:val="6222FBFC"/>
    <w:rsid w:val="62A5CD02"/>
    <w:rsid w:val="631599DE"/>
    <w:rsid w:val="632EFD6C"/>
    <w:rsid w:val="636D9E7A"/>
    <w:rsid w:val="63838679"/>
    <w:rsid w:val="63C5DE18"/>
    <w:rsid w:val="63F28340"/>
    <w:rsid w:val="64DAAD0F"/>
    <w:rsid w:val="64FC5385"/>
    <w:rsid w:val="65D7F35E"/>
    <w:rsid w:val="65DAEDB7"/>
    <w:rsid w:val="6634EEDD"/>
    <w:rsid w:val="6683A719"/>
    <w:rsid w:val="66A0210A"/>
    <w:rsid w:val="67405F9F"/>
    <w:rsid w:val="677E3A98"/>
    <w:rsid w:val="678C7E1B"/>
    <w:rsid w:val="678E2F8F"/>
    <w:rsid w:val="678E3151"/>
    <w:rsid w:val="67E19799"/>
    <w:rsid w:val="683CA292"/>
    <w:rsid w:val="68A6B586"/>
    <w:rsid w:val="6919E8F0"/>
    <w:rsid w:val="69984D0F"/>
    <w:rsid w:val="699D80D2"/>
    <w:rsid w:val="69E144E7"/>
    <w:rsid w:val="69E2D771"/>
    <w:rsid w:val="69FB9B5B"/>
    <w:rsid w:val="6A01DE1E"/>
    <w:rsid w:val="6A2DA730"/>
    <w:rsid w:val="6A4E3CFC"/>
    <w:rsid w:val="6A639A0C"/>
    <w:rsid w:val="6AAAD620"/>
    <w:rsid w:val="6AE1D9E2"/>
    <w:rsid w:val="6BC94FB1"/>
    <w:rsid w:val="6BF2411C"/>
    <w:rsid w:val="6C9BDD44"/>
    <w:rsid w:val="6CCD5317"/>
    <w:rsid w:val="6CD9F60E"/>
    <w:rsid w:val="6D2733AD"/>
    <w:rsid w:val="6DDFEACA"/>
    <w:rsid w:val="6E2346AC"/>
    <w:rsid w:val="6E377657"/>
    <w:rsid w:val="6FC47592"/>
    <w:rsid w:val="6FE4542A"/>
    <w:rsid w:val="705F38C6"/>
    <w:rsid w:val="71384150"/>
    <w:rsid w:val="716798FF"/>
    <w:rsid w:val="7179736C"/>
    <w:rsid w:val="722C6F1C"/>
    <w:rsid w:val="72492A39"/>
    <w:rsid w:val="7268624C"/>
    <w:rsid w:val="72839489"/>
    <w:rsid w:val="72864492"/>
    <w:rsid w:val="72CBED86"/>
    <w:rsid w:val="736FAA71"/>
    <w:rsid w:val="73A3157E"/>
    <w:rsid w:val="74E68027"/>
    <w:rsid w:val="7525A1D8"/>
    <w:rsid w:val="75267937"/>
    <w:rsid w:val="752AF43D"/>
    <w:rsid w:val="7552C843"/>
    <w:rsid w:val="75553DED"/>
    <w:rsid w:val="75BC2189"/>
    <w:rsid w:val="75C70895"/>
    <w:rsid w:val="75E15F9E"/>
    <w:rsid w:val="75FD6E45"/>
    <w:rsid w:val="75FF611C"/>
    <w:rsid w:val="761113FB"/>
    <w:rsid w:val="76350812"/>
    <w:rsid w:val="769B9062"/>
    <w:rsid w:val="779A2C63"/>
    <w:rsid w:val="78847331"/>
    <w:rsid w:val="78C07BF2"/>
    <w:rsid w:val="78CEE8A6"/>
    <w:rsid w:val="78DAB009"/>
    <w:rsid w:val="78F01A74"/>
    <w:rsid w:val="7935D904"/>
    <w:rsid w:val="79595A12"/>
    <w:rsid w:val="79650E6B"/>
    <w:rsid w:val="7A40E010"/>
    <w:rsid w:val="7A5FE5EA"/>
    <w:rsid w:val="7A9CE11D"/>
    <w:rsid w:val="7B25DE65"/>
    <w:rsid w:val="7B2F8A97"/>
    <w:rsid w:val="7B6773E4"/>
    <w:rsid w:val="7B801DE6"/>
    <w:rsid w:val="7BB35A11"/>
    <w:rsid w:val="7C0C33EF"/>
    <w:rsid w:val="7C206D4A"/>
    <w:rsid w:val="7C85E7BA"/>
    <w:rsid w:val="7D0A2054"/>
    <w:rsid w:val="7D1D2577"/>
    <w:rsid w:val="7D72C6FD"/>
    <w:rsid w:val="7D9D3538"/>
    <w:rsid w:val="7DE97464"/>
    <w:rsid w:val="7E6C73D0"/>
    <w:rsid w:val="7EAB1983"/>
    <w:rsid w:val="7EDDD85E"/>
    <w:rsid w:val="7EE8669B"/>
    <w:rsid w:val="7F8D736B"/>
    <w:rsid w:val="7F8EF30E"/>
    <w:rsid w:val="7F9702A3"/>
    <w:rsid w:val="7FE723A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5AD93A"/>
  <w15:docId w15:val="{0830F9A6-8838-4344-8BE9-8B3208459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link w:val="Heading1Char"/>
    <w:uiPriority w:val="9"/>
    <w:qFormat/>
    <w:rsid w:val="009832C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9832C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832C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0F59B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140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40A5"/>
  </w:style>
  <w:style w:type="paragraph" w:styleId="Footer">
    <w:name w:val="footer"/>
    <w:basedOn w:val="Normal"/>
    <w:link w:val="FooterChar"/>
    <w:uiPriority w:val="99"/>
    <w:unhideWhenUsed/>
    <w:rsid w:val="00F140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40A5"/>
  </w:style>
  <w:style w:type="character" w:customStyle="1" w:styleId="Heading1Char">
    <w:name w:val="Heading 1 Char"/>
    <w:basedOn w:val="DefaultParagraphFont"/>
    <w:link w:val="Heading1"/>
    <w:uiPriority w:val="9"/>
    <w:rsid w:val="009832C0"/>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832C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9832C0"/>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9832C0"/>
    <w:pPr>
      <w:ind w:left="720"/>
      <w:contextualSpacing/>
    </w:pPr>
  </w:style>
  <w:style w:type="table" w:styleId="TableGrid">
    <w:name w:val="Table Grid"/>
    <w:basedOn w:val="TableNormal"/>
    <w:uiPriority w:val="39"/>
    <w:rsid w:val="00983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832C0"/>
    <w:rPr>
      <w:color w:val="0563C1" w:themeColor="hyperlink"/>
      <w:u w:val="single"/>
    </w:rPr>
  </w:style>
  <w:style w:type="character" w:styleId="CommentReference">
    <w:name w:val="annotation reference"/>
    <w:basedOn w:val="DefaultParagraphFont"/>
    <w:uiPriority w:val="99"/>
    <w:semiHidden/>
    <w:unhideWhenUsed/>
    <w:rsid w:val="009832C0"/>
    <w:rPr>
      <w:sz w:val="16"/>
      <w:szCs w:val="16"/>
    </w:rPr>
  </w:style>
  <w:style w:type="paragraph" w:styleId="CommentText">
    <w:name w:val="annotation text"/>
    <w:basedOn w:val="Normal"/>
    <w:link w:val="CommentTextChar"/>
    <w:uiPriority w:val="99"/>
    <w:unhideWhenUsed/>
    <w:rsid w:val="009832C0"/>
    <w:pPr>
      <w:spacing w:line="240" w:lineRule="auto"/>
    </w:pPr>
    <w:rPr>
      <w:sz w:val="20"/>
      <w:szCs w:val="20"/>
    </w:rPr>
  </w:style>
  <w:style w:type="character" w:customStyle="1" w:styleId="CommentTextChar">
    <w:name w:val="Comment Text Char"/>
    <w:basedOn w:val="DefaultParagraphFont"/>
    <w:link w:val="CommentText"/>
    <w:uiPriority w:val="99"/>
    <w:rsid w:val="009832C0"/>
    <w:rPr>
      <w:sz w:val="20"/>
      <w:szCs w:val="20"/>
    </w:rPr>
  </w:style>
  <w:style w:type="paragraph" w:styleId="CommentSubject">
    <w:name w:val="annotation subject"/>
    <w:basedOn w:val="CommentText"/>
    <w:next w:val="CommentText"/>
    <w:link w:val="CommentSubjectChar"/>
    <w:uiPriority w:val="99"/>
    <w:semiHidden/>
    <w:unhideWhenUsed/>
    <w:rsid w:val="009832C0"/>
    <w:rPr>
      <w:b/>
      <w:bCs/>
    </w:rPr>
  </w:style>
  <w:style w:type="character" w:customStyle="1" w:styleId="CommentSubjectChar">
    <w:name w:val="Comment Subject Char"/>
    <w:basedOn w:val="CommentTextChar"/>
    <w:link w:val="CommentSubject"/>
    <w:uiPriority w:val="99"/>
    <w:semiHidden/>
    <w:rsid w:val="009832C0"/>
    <w:rPr>
      <w:b/>
      <w:bCs/>
      <w:sz w:val="20"/>
      <w:szCs w:val="20"/>
    </w:rPr>
  </w:style>
  <w:style w:type="paragraph" w:styleId="Revision">
    <w:name w:val="Revision"/>
    <w:hidden/>
    <w:uiPriority w:val="99"/>
    <w:semiHidden/>
    <w:rsid w:val="009832C0"/>
    <w:pPr>
      <w:spacing w:after="0" w:line="240" w:lineRule="auto"/>
    </w:pPr>
  </w:style>
  <w:style w:type="table" w:customStyle="1" w:styleId="TableGrid0">
    <w:name w:val="TableGrid"/>
    <w:rsid w:val="009832C0"/>
    <w:pPr>
      <w:spacing w:after="0" w:line="240" w:lineRule="auto"/>
    </w:pPr>
    <w:rPr>
      <w:rFonts w:eastAsia="Yu Mincho"/>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9832C0"/>
    <w:rPr>
      <w:color w:val="605E5C"/>
      <w:shd w:val="clear" w:color="auto" w:fill="E1DFDD"/>
    </w:rPr>
  </w:style>
  <w:style w:type="character" w:customStyle="1" w:styleId="UnresolvedMention1">
    <w:name w:val="Unresolved Mention1"/>
    <w:basedOn w:val="DefaultParagraphFont"/>
    <w:uiPriority w:val="99"/>
    <w:semiHidden/>
    <w:unhideWhenUsed/>
    <w:rsid w:val="009832C0"/>
    <w:rPr>
      <w:color w:val="605E5C"/>
      <w:shd w:val="clear" w:color="auto" w:fill="E1DFDD"/>
    </w:rPr>
  </w:style>
  <w:style w:type="paragraph" w:styleId="BalloonText">
    <w:name w:val="Balloon Text"/>
    <w:basedOn w:val="Normal"/>
    <w:link w:val="BalloonTextChar"/>
    <w:uiPriority w:val="99"/>
    <w:semiHidden/>
    <w:unhideWhenUsed/>
    <w:rsid w:val="009832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32C0"/>
    <w:rPr>
      <w:rFonts w:ascii="Tahoma" w:hAnsi="Tahoma" w:cs="Tahoma"/>
      <w:sz w:val="16"/>
      <w:szCs w:val="16"/>
    </w:rPr>
  </w:style>
  <w:style w:type="character" w:styleId="Mention">
    <w:name w:val="Mention"/>
    <w:basedOn w:val="DefaultParagraphFont"/>
    <w:uiPriority w:val="99"/>
    <w:unhideWhenUsed/>
    <w:rsid w:val="009832C0"/>
    <w:rPr>
      <w:color w:val="2B579A"/>
      <w:shd w:val="clear" w:color="auto" w:fill="E6E6E6"/>
    </w:rPr>
  </w:style>
  <w:style w:type="paragraph" w:styleId="NormalWeb">
    <w:name w:val="Normal (Web)"/>
    <w:basedOn w:val="Normal"/>
    <w:uiPriority w:val="99"/>
    <w:unhideWhenUsed/>
    <w:rsid w:val="009832C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832C0"/>
    <w:rPr>
      <w:i/>
      <w:iCs/>
    </w:rPr>
  </w:style>
  <w:style w:type="character" w:styleId="FollowedHyperlink">
    <w:name w:val="FollowedHyperlink"/>
    <w:basedOn w:val="DefaultParagraphFont"/>
    <w:uiPriority w:val="99"/>
    <w:semiHidden/>
    <w:unhideWhenUsed/>
    <w:rsid w:val="009832C0"/>
    <w:rPr>
      <w:color w:val="954F72"/>
      <w:u w:val="single"/>
    </w:rPr>
  </w:style>
  <w:style w:type="paragraph" w:customStyle="1" w:styleId="msonormal0">
    <w:name w:val="msonormal"/>
    <w:basedOn w:val="Normal"/>
    <w:rsid w:val="009832C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9832C0"/>
    <w:pPr>
      <w:pBdr>
        <w:top w:val="single" w:sz="4" w:space="0" w:color="000000"/>
        <w:left w:val="single" w:sz="4" w:space="0" w:color="000000"/>
        <w:bottom w:val="single" w:sz="4" w:space="0" w:color="000000"/>
        <w:right w:val="single" w:sz="4" w:space="0" w:color="000000"/>
      </w:pBdr>
      <w:shd w:val="clear" w:color="E7E6E6" w:fill="E7E6E6"/>
      <w:spacing w:before="100" w:beforeAutospacing="1" w:after="100" w:afterAutospacing="1" w:line="240" w:lineRule="auto"/>
      <w:jc w:val="center"/>
    </w:pPr>
    <w:rPr>
      <w:rFonts w:ascii="Calibri" w:eastAsia="Times New Roman" w:hAnsi="Calibri" w:cs="Calibri"/>
      <w:sz w:val="24"/>
      <w:szCs w:val="24"/>
    </w:rPr>
  </w:style>
  <w:style w:type="paragraph" w:customStyle="1" w:styleId="xl77">
    <w:name w:val="xl77"/>
    <w:basedOn w:val="Normal"/>
    <w:rsid w:val="009832C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Calibri" w:eastAsia="Times New Roman" w:hAnsi="Calibri" w:cs="Calibri"/>
      <w:sz w:val="24"/>
      <w:szCs w:val="24"/>
    </w:rPr>
  </w:style>
  <w:style w:type="paragraph" w:customStyle="1" w:styleId="xl78">
    <w:name w:val="xl78"/>
    <w:basedOn w:val="Normal"/>
    <w:rsid w:val="009832C0"/>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line="240" w:lineRule="auto"/>
    </w:pPr>
    <w:rPr>
      <w:rFonts w:ascii="Calibri" w:eastAsia="Times New Roman" w:hAnsi="Calibri" w:cs="Calibri"/>
      <w:sz w:val="24"/>
      <w:szCs w:val="24"/>
    </w:rPr>
  </w:style>
  <w:style w:type="paragraph" w:customStyle="1" w:styleId="xl79">
    <w:name w:val="xl79"/>
    <w:basedOn w:val="Normal"/>
    <w:rsid w:val="009832C0"/>
    <w:pPr>
      <w:shd w:val="clear" w:color="FFFF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9832C0"/>
    <w:pPr>
      <w:pBdr>
        <w:top w:val="single" w:sz="4" w:space="0" w:color="000000"/>
        <w:left w:val="single" w:sz="4" w:space="0" w:color="000000"/>
        <w:bottom w:val="single" w:sz="4" w:space="0" w:color="000000"/>
        <w:right w:val="single" w:sz="4" w:space="0" w:color="000000"/>
      </w:pBdr>
      <w:shd w:val="clear" w:color="A9A9A9" w:fill="A9A9A9"/>
      <w:spacing w:before="100" w:beforeAutospacing="1" w:after="100" w:afterAutospacing="1" w:line="240" w:lineRule="auto"/>
    </w:pPr>
    <w:rPr>
      <w:rFonts w:ascii="Calibri" w:eastAsia="Times New Roman" w:hAnsi="Calibri" w:cs="Calibri"/>
      <w:sz w:val="24"/>
      <w:szCs w:val="24"/>
    </w:rPr>
  </w:style>
  <w:style w:type="paragraph" w:customStyle="1" w:styleId="xl81">
    <w:name w:val="xl81"/>
    <w:basedOn w:val="Normal"/>
    <w:rsid w:val="009832C0"/>
    <w:pPr>
      <w:shd w:val="clear" w:color="A9A9A9" w:fill="A9A9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rsid w:val="009832C0"/>
    <w:pPr>
      <w:pBdr>
        <w:top w:val="single" w:sz="4" w:space="0" w:color="000000"/>
        <w:left w:val="single" w:sz="4" w:space="0" w:color="000000"/>
        <w:bottom w:val="single" w:sz="4" w:space="0" w:color="000000"/>
        <w:right w:val="single" w:sz="4" w:space="0" w:color="000000"/>
      </w:pBdr>
      <w:shd w:val="clear" w:color="F08080" w:fill="F08080"/>
      <w:spacing w:before="100" w:beforeAutospacing="1" w:after="100" w:afterAutospacing="1" w:line="240" w:lineRule="auto"/>
    </w:pPr>
    <w:rPr>
      <w:rFonts w:ascii="Calibri" w:eastAsia="Times New Roman" w:hAnsi="Calibri" w:cs="Calibri"/>
      <w:sz w:val="24"/>
      <w:szCs w:val="24"/>
    </w:rPr>
  </w:style>
  <w:style w:type="paragraph" w:customStyle="1" w:styleId="xl83">
    <w:name w:val="xl83"/>
    <w:basedOn w:val="Normal"/>
    <w:rsid w:val="009832C0"/>
    <w:pPr>
      <w:pBdr>
        <w:top w:val="single" w:sz="4" w:space="0" w:color="000000"/>
        <w:left w:val="single" w:sz="4" w:space="0" w:color="000000"/>
        <w:bottom w:val="single" w:sz="4" w:space="0" w:color="000000"/>
        <w:right w:val="single" w:sz="4" w:space="0" w:color="000000"/>
      </w:pBdr>
      <w:shd w:val="clear" w:color="F08080" w:fill="F08080"/>
      <w:spacing w:before="100" w:beforeAutospacing="1" w:after="100" w:afterAutospacing="1" w:line="240" w:lineRule="auto"/>
    </w:pPr>
    <w:rPr>
      <w:rFonts w:ascii="Calibri" w:eastAsia="Times New Roman" w:hAnsi="Calibri" w:cs="Calibri"/>
      <w:sz w:val="24"/>
      <w:szCs w:val="24"/>
    </w:rPr>
  </w:style>
  <w:style w:type="paragraph" w:customStyle="1" w:styleId="xl84">
    <w:name w:val="xl84"/>
    <w:basedOn w:val="Normal"/>
    <w:rsid w:val="009832C0"/>
    <w:pPr>
      <w:shd w:val="clear" w:color="F08080" w:fill="F08080"/>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9832C0"/>
    <w:pPr>
      <w:suppressAutoHyphens/>
      <w:spacing w:after="0" w:line="240" w:lineRule="auto"/>
    </w:pPr>
    <w:rPr>
      <w:rFonts w:ascii="Calibri" w:eastAsia="Calibri" w:hAnsi="Calibri" w:cs="DejaVu Sans"/>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832C0"/>
  </w:style>
  <w:style w:type="character" w:customStyle="1" w:styleId="gnd-iwgdh3b">
    <w:name w:val="gnd-iwgdh3b"/>
    <w:basedOn w:val="DefaultParagraphFont"/>
    <w:rsid w:val="009832C0"/>
  </w:style>
  <w:style w:type="table" w:styleId="PlainTable5">
    <w:name w:val="Plain Table 5"/>
    <w:basedOn w:val="TableNormal"/>
    <w:uiPriority w:val="45"/>
    <w:rsid w:val="009832C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9832C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9832C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trong">
    <w:name w:val="Strong"/>
    <w:basedOn w:val="DefaultParagraphFont"/>
    <w:uiPriority w:val="22"/>
    <w:qFormat/>
    <w:rsid w:val="009832C0"/>
    <w:rPr>
      <w:b/>
      <w:bCs/>
    </w:rPr>
  </w:style>
  <w:style w:type="paragraph" w:styleId="HTMLPreformatted">
    <w:name w:val="HTML Preformatted"/>
    <w:basedOn w:val="Normal"/>
    <w:link w:val="HTMLPreformattedChar"/>
    <w:uiPriority w:val="99"/>
    <w:semiHidden/>
    <w:unhideWhenUsed/>
    <w:rsid w:val="009832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MX" w:eastAsia="es-MX"/>
    </w:rPr>
  </w:style>
  <w:style w:type="character" w:customStyle="1" w:styleId="HTMLPreformattedChar">
    <w:name w:val="HTML Preformatted Char"/>
    <w:basedOn w:val="DefaultParagraphFont"/>
    <w:link w:val="HTMLPreformatted"/>
    <w:uiPriority w:val="99"/>
    <w:semiHidden/>
    <w:rsid w:val="009832C0"/>
    <w:rPr>
      <w:rFonts w:ascii="Courier New" w:eastAsia="Times New Roman" w:hAnsi="Courier New" w:cs="Courier New"/>
      <w:sz w:val="20"/>
      <w:szCs w:val="20"/>
      <w:lang w:val="es-MX" w:eastAsia="es-MX"/>
    </w:rPr>
  </w:style>
  <w:style w:type="table" w:styleId="PlainTable3">
    <w:name w:val="Plain Table 3"/>
    <w:basedOn w:val="TableNormal"/>
    <w:uiPriority w:val="43"/>
    <w:rsid w:val="009832C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Heading11">
    <w:name w:val="Heading 11"/>
    <w:basedOn w:val="Normal"/>
    <w:next w:val="Normal"/>
    <w:uiPriority w:val="9"/>
    <w:qFormat/>
    <w:rsid w:val="009832C0"/>
    <w:pPr>
      <w:keepNext/>
      <w:keepLines/>
      <w:spacing w:before="240" w:after="0"/>
      <w:outlineLvl w:val="0"/>
    </w:pPr>
    <w:rPr>
      <w:rFonts w:ascii="Calibri Light" w:eastAsia="Times New Roman" w:hAnsi="Calibri Light" w:cs="Times New Roman"/>
      <w:color w:val="2F5496"/>
      <w:kern w:val="2"/>
      <w:sz w:val="32"/>
      <w:szCs w:val="32"/>
    </w:rPr>
  </w:style>
  <w:style w:type="numbering" w:customStyle="1" w:styleId="NoList11">
    <w:name w:val="No List11"/>
    <w:next w:val="NoList"/>
    <w:uiPriority w:val="99"/>
    <w:semiHidden/>
    <w:unhideWhenUsed/>
    <w:rsid w:val="009832C0"/>
  </w:style>
  <w:style w:type="paragraph" w:customStyle="1" w:styleId="xl65">
    <w:name w:val="xl65"/>
    <w:basedOn w:val="Normal"/>
    <w:rsid w:val="009832C0"/>
    <w:pPr>
      <w:spacing w:before="100" w:beforeAutospacing="1" w:after="100" w:afterAutospacing="1" w:line="240" w:lineRule="auto"/>
      <w:textAlignment w:val="center"/>
    </w:pPr>
    <w:rPr>
      <w:rFonts w:ascii="Lucida Console" w:eastAsia="Times New Roman" w:hAnsi="Lucida Console" w:cs="Times New Roman"/>
      <w:color w:val="000000"/>
      <w:sz w:val="20"/>
      <w:szCs w:val="20"/>
      <w:lang w:eastAsia="en-GB"/>
    </w:rPr>
  </w:style>
  <w:style w:type="paragraph" w:customStyle="1" w:styleId="xl66">
    <w:name w:val="xl66"/>
    <w:basedOn w:val="Normal"/>
    <w:rsid w:val="009832C0"/>
    <w:pPr>
      <w:shd w:val="clear" w:color="000000" w:fill="FFFFFF"/>
      <w:spacing w:before="100" w:beforeAutospacing="1" w:after="100" w:afterAutospacing="1" w:line="240" w:lineRule="auto"/>
      <w:textAlignment w:val="center"/>
    </w:pPr>
    <w:rPr>
      <w:rFonts w:ascii="Lucida Console" w:eastAsia="Times New Roman" w:hAnsi="Lucida Console" w:cs="Times New Roman"/>
      <w:color w:val="000000"/>
      <w:sz w:val="20"/>
      <w:szCs w:val="20"/>
      <w:lang w:eastAsia="en-GB"/>
    </w:rPr>
  </w:style>
  <w:style w:type="table" w:customStyle="1" w:styleId="TableGrid11">
    <w:name w:val="Table Grid11"/>
    <w:basedOn w:val="TableNormal"/>
    <w:next w:val="TableGrid"/>
    <w:uiPriority w:val="39"/>
    <w:rsid w:val="009832C0"/>
    <w:pPr>
      <w:spacing w:after="0" w:line="240" w:lineRule="auto"/>
    </w:pPr>
    <w:rPr>
      <w:kern w:val="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9832C0"/>
    <w:rPr>
      <w:rFonts w:asciiTheme="majorHAnsi" w:eastAsiaTheme="majorEastAsia" w:hAnsiTheme="majorHAnsi" w:cstheme="majorBidi"/>
      <w:color w:val="2E74B5" w:themeColor="accent1" w:themeShade="BF"/>
      <w:sz w:val="32"/>
      <w:szCs w:val="32"/>
    </w:rPr>
  </w:style>
  <w:style w:type="paragraph" w:customStyle="1" w:styleId="Abstract">
    <w:name w:val="Abstract"/>
    <w:basedOn w:val="Normal"/>
    <w:next w:val="Keywords"/>
    <w:qFormat/>
    <w:rsid w:val="009832C0"/>
    <w:pPr>
      <w:spacing w:before="360" w:after="300" w:line="276" w:lineRule="auto"/>
      <w:ind w:left="2160" w:right="1299"/>
      <w:jc w:val="both"/>
    </w:pPr>
    <w:rPr>
      <w:rFonts w:ascii="Times New Roman" w:eastAsia="Times New Roman" w:hAnsi="Times New Roman" w:cs="Times New Roman"/>
      <w:lang w:eastAsia="en-GB"/>
    </w:rPr>
  </w:style>
  <w:style w:type="paragraph" w:customStyle="1" w:styleId="Keywords">
    <w:name w:val="Keywords"/>
    <w:basedOn w:val="Normal"/>
    <w:next w:val="Paragraph"/>
    <w:qFormat/>
    <w:rsid w:val="009832C0"/>
    <w:pPr>
      <w:spacing w:before="240" w:after="240" w:line="360" w:lineRule="auto"/>
      <w:ind w:left="2160" w:right="1299"/>
      <w:jc w:val="both"/>
    </w:pPr>
    <w:rPr>
      <w:rFonts w:ascii="Times New Roman" w:eastAsia="Times New Roman" w:hAnsi="Times New Roman" w:cs="Times New Roman"/>
      <w:lang w:eastAsia="en-GB"/>
    </w:rPr>
  </w:style>
  <w:style w:type="paragraph" w:customStyle="1" w:styleId="Paragraph">
    <w:name w:val="Paragraph"/>
    <w:basedOn w:val="Normal"/>
    <w:next w:val="Newparagraph"/>
    <w:qFormat/>
    <w:rsid w:val="009832C0"/>
    <w:pPr>
      <w:widowControl w:val="0"/>
      <w:spacing w:before="240" w:after="0" w:line="360" w:lineRule="auto"/>
      <w:ind w:firstLine="720"/>
    </w:pPr>
    <w:rPr>
      <w:rFonts w:ascii="Times New Roman" w:eastAsia="Times New Roman" w:hAnsi="Times New Roman" w:cs="Times New Roman"/>
      <w:lang w:eastAsia="en-GB"/>
    </w:rPr>
  </w:style>
  <w:style w:type="paragraph" w:customStyle="1" w:styleId="Newparagraph">
    <w:name w:val="New paragraph"/>
    <w:basedOn w:val="Normal"/>
    <w:qFormat/>
    <w:rsid w:val="009832C0"/>
    <w:pPr>
      <w:spacing w:before="120" w:after="0" w:line="360" w:lineRule="auto"/>
      <w:ind w:firstLine="720"/>
    </w:pPr>
    <w:rPr>
      <w:rFonts w:ascii="Times New Roman" w:eastAsia="Times New Roman" w:hAnsi="Times New Roman" w:cs="Times New Roman"/>
      <w:lang w:eastAsia="en-GB"/>
    </w:rPr>
  </w:style>
  <w:style w:type="paragraph" w:customStyle="1" w:styleId="Bulletedlist">
    <w:name w:val="Bulleted list"/>
    <w:basedOn w:val="Paragraph"/>
    <w:next w:val="Paragraph"/>
    <w:qFormat/>
    <w:rsid w:val="009832C0"/>
    <w:pPr>
      <w:widowControl/>
      <w:numPr>
        <w:numId w:val="45"/>
      </w:numPr>
      <w:spacing w:after="240"/>
      <w:contextualSpacing/>
    </w:pPr>
  </w:style>
  <w:style w:type="table" w:customStyle="1" w:styleId="APAReport">
    <w:name w:val="APA Report"/>
    <w:basedOn w:val="TableNormal"/>
    <w:uiPriority w:val="99"/>
    <w:rsid w:val="009832C0"/>
    <w:pPr>
      <w:spacing w:after="0" w:line="240" w:lineRule="auto"/>
    </w:pPr>
    <w:rPr>
      <w:rFonts w:eastAsia="Times New Roman"/>
      <w:sz w:val="24"/>
      <w:szCs w:val="24"/>
      <w:lang w:eastAsia="ja-JP"/>
    </w:rPr>
    <w:tblPr>
      <w:tblBorders>
        <w:top w:val="single" w:sz="12" w:space="0" w:color="auto"/>
        <w:bottom w:val="single" w:sz="12" w:space="0" w:color="auto"/>
      </w:tblBorders>
    </w:tblPr>
    <w:tblStylePr w:type="firstRow">
      <w:rPr>
        <w:rFonts w:ascii="Calibri Light" w:hAnsi="Calibri Light"/>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styleId="TOCHeading">
    <w:name w:val="TOC Heading"/>
    <w:basedOn w:val="Heading1"/>
    <w:next w:val="Normal"/>
    <w:uiPriority w:val="39"/>
    <w:unhideWhenUsed/>
    <w:qFormat/>
    <w:rsid w:val="00B93217"/>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en-US"/>
    </w:rPr>
  </w:style>
  <w:style w:type="paragraph" w:styleId="TOC1">
    <w:name w:val="toc 1"/>
    <w:basedOn w:val="Normal"/>
    <w:next w:val="Normal"/>
    <w:autoRedefine/>
    <w:uiPriority w:val="39"/>
    <w:unhideWhenUsed/>
    <w:rsid w:val="00B93217"/>
    <w:pPr>
      <w:spacing w:after="100"/>
    </w:pPr>
  </w:style>
  <w:style w:type="character" w:customStyle="1" w:styleId="Heading4Char">
    <w:name w:val="Heading 4 Char"/>
    <w:basedOn w:val="DefaultParagraphFont"/>
    <w:link w:val="Heading4"/>
    <w:uiPriority w:val="9"/>
    <w:semiHidden/>
    <w:rsid w:val="000F59BC"/>
    <w:rPr>
      <w:rFonts w:asciiTheme="majorHAnsi" w:eastAsiaTheme="majorEastAsia" w:hAnsiTheme="majorHAnsi" w:cstheme="majorBidi"/>
      <w:i/>
      <w:iCs/>
      <w:color w:val="2E74B5" w:themeColor="accent1" w:themeShade="B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0308933">
      <w:bodyDiv w:val="1"/>
      <w:marLeft w:val="0"/>
      <w:marRight w:val="0"/>
      <w:marTop w:val="0"/>
      <w:marBottom w:val="0"/>
      <w:divBdr>
        <w:top w:val="none" w:sz="0" w:space="0" w:color="auto"/>
        <w:left w:val="none" w:sz="0" w:space="0" w:color="auto"/>
        <w:bottom w:val="none" w:sz="0" w:space="0" w:color="auto"/>
        <w:right w:val="none" w:sz="0" w:space="0" w:color="auto"/>
      </w:divBdr>
    </w:div>
    <w:div w:id="346835220">
      <w:bodyDiv w:val="1"/>
      <w:marLeft w:val="0"/>
      <w:marRight w:val="0"/>
      <w:marTop w:val="0"/>
      <w:marBottom w:val="0"/>
      <w:divBdr>
        <w:top w:val="none" w:sz="0" w:space="0" w:color="auto"/>
        <w:left w:val="none" w:sz="0" w:space="0" w:color="auto"/>
        <w:bottom w:val="none" w:sz="0" w:space="0" w:color="auto"/>
        <w:right w:val="none" w:sz="0" w:space="0" w:color="auto"/>
      </w:divBdr>
      <w:divsChild>
        <w:div w:id="1757093727">
          <w:marLeft w:val="0"/>
          <w:marRight w:val="0"/>
          <w:marTop w:val="0"/>
          <w:marBottom w:val="0"/>
          <w:divBdr>
            <w:top w:val="none" w:sz="0" w:space="0" w:color="auto"/>
            <w:left w:val="none" w:sz="0" w:space="0" w:color="auto"/>
            <w:bottom w:val="none" w:sz="0" w:space="0" w:color="auto"/>
            <w:right w:val="none" w:sz="0" w:space="0" w:color="auto"/>
          </w:divBdr>
        </w:div>
        <w:div w:id="426198555">
          <w:marLeft w:val="0"/>
          <w:marRight w:val="0"/>
          <w:marTop w:val="0"/>
          <w:marBottom w:val="0"/>
          <w:divBdr>
            <w:top w:val="none" w:sz="0" w:space="0" w:color="auto"/>
            <w:left w:val="none" w:sz="0" w:space="0" w:color="auto"/>
            <w:bottom w:val="none" w:sz="0" w:space="0" w:color="auto"/>
            <w:right w:val="none" w:sz="0" w:space="0" w:color="auto"/>
          </w:divBdr>
        </w:div>
      </w:divsChild>
    </w:div>
    <w:div w:id="741101032">
      <w:bodyDiv w:val="1"/>
      <w:marLeft w:val="0"/>
      <w:marRight w:val="0"/>
      <w:marTop w:val="0"/>
      <w:marBottom w:val="0"/>
      <w:divBdr>
        <w:top w:val="none" w:sz="0" w:space="0" w:color="auto"/>
        <w:left w:val="none" w:sz="0" w:space="0" w:color="auto"/>
        <w:bottom w:val="none" w:sz="0" w:space="0" w:color="auto"/>
        <w:right w:val="none" w:sz="0" w:space="0" w:color="auto"/>
      </w:divBdr>
      <w:divsChild>
        <w:div w:id="240142512">
          <w:marLeft w:val="0"/>
          <w:marRight w:val="0"/>
          <w:marTop w:val="0"/>
          <w:marBottom w:val="0"/>
          <w:divBdr>
            <w:top w:val="none" w:sz="0" w:space="0" w:color="auto"/>
            <w:left w:val="none" w:sz="0" w:space="0" w:color="auto"/>
            <w:bottom w:val="none" w:sz="0" w:space="0" w:color="auto"/>
            <w:right w:val="none" w:sz="0" w:space="0" w:color="auto"/>
          </w:divBdr>
        </w:div>
        <w:div w:id="694043016">
          <w:marLeft w:val="0"/>
          <w:marRight w:val="0"/>
          <w:marTop w:val="0"/>
          <w:marBottom w:val="0"/>
          <w:divBdr>
            <w:top w:val="none" w:sz="0" w:space="0" w:color="auto"/>
            <w:left w:val="none" w:sz="0" w:space="0" w:color="auto"/>
            <w:bottom w:val="none" w:sz="0" w:space="0" w:color="auto"/>
            <w:right w:val="none" w:sz="0" w:space="0" w:color="auto"/>
          </w:divBdr>
        </w:div>
      </w:divsChild>
    </w:div>
    <w:div w:id="911548625">
      <w:bodyDiv w:val="1"/>
      <w:marLeft w:val="0"/>
      <w:marRight w:val="0"/>
      <w:marTop w:val="0"/>
      <w:marBottom w:val="0"/>
      <w:divBdr>
        <w:top w:val="none" w:sz="0" w:space="0" w:color="auto"/>
        <w:left w:val="none" w:sz="0" w:space="0" w:color="auto"/>
        <w:bottom w:val="none" w:sz="0" w:space="0" w:color="auto"/>
        <w:right w:val="none" w:sz="0" w:space="0" w:color="auto"/>
      </w:divBdr>
    </w:div>
    <w:div w:id="1050497480">
      <w:bodyDiv w:val="1"/>
      <w:marLeft w:val="0"/>
      <w:marRight w:val="0"/>
      <w:marTop w:val="0"/>
      <w:marBottom w:val="0"/>
      <w:divBdr>
        <w:top w:val="none" w:sz="0" w:space="0" w:color="auto"/>
        <w:left w:val="none" w:sz="0" w:space="0" w:color="auto"/>
        <w:bottom w:val="none" w:sz="0" w:space="0" w:color="auto"/>
        <w:right w:val="none" w:sz="0" w:space="0" w:color="auto"/>
      </w:divBdr>
    </w:div>
    <w:div w:id="17972854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oi.org/10.1111/tsq.12107" TargetMode="External"/><Relationship Id="rId117" Type="http://schemas.openxmlformats.org/officeDocument/2006/relationships/hyperlink" Target="https://midus.colectica.org/item/midus.wisc.edu/96b7aa16-2a5f-4650-908f-122b01365d51" TargetMode="External"/><Relationship Id="rId21" Type="http://schemas.openxmlformats.org/officeDocument/2006/relationships/hyperlink" Target="https://www.crd.york.ac.uk/prospero/display_record.php?ID=CRD42021257706" TargetMode="External"/><Relationship Id="rId42" Type="http://schemas.openxmlformats.org/officeDocument/2006/relationships/hyperlink" Target="https://doi.org/10.46658/JBIMES-20-01" TargetMode="External"/><Relationship Id="rId47" Type="http://schemas.openxmlformats.org/officeDocument/2006/relationships/hyperlink" Target="https://doi.org/10.1097/PR9.0000000000000839" TargetMode="External"/><Relationship Id="rId63" Type="http://schemas.openxmlformats.org/officeDocument/2006/relationships/image" Target="media/image12.png"/><Relationship Id="rId68" Type="http://schemas.openxmlformats.org/officeDocument/2006/relationships/hyperlink" Target="https://doi.org/10.1002/wps.20723" TargetMode="External"/><Relationship Id="rId84" Type="http://schemas.openxmlformats.org/officeDocument/2006/relationships/hyperlink" Target="https://www.R-project.org/" TargetMode="External"/><Relationship Id="rId89" Type="http://schemas.openxmlformats.org/officeDocument/2006/relationships/hyperlink" Target="https://doi.org/10.1038/s41386-020-00948-6" TargetMode="External"/><Relationship Id="rId112" Type="http://schemas.openxmlformats.org/officeDocument/2006/relationships/hyperlink" Target="https://midus.colectica.org/item/midus.wisc.edu/4536c704-7f43-45a6-a1fd-7ccd39b87412" TargetMode="External"/><Relationship Id="rId133" Type="http://schemas.openxmlformats.org/officeDocument/2006/relationships/hyperlink" Target="https://doi.org/10.3886/ICPSR04652" TargetMode="External"/><Relationship Id="rId138" Type="http://schemas.openxmlformats.org/officeDocument/2006/relationships/hyperlink" Target="https://pro.psycom.net/news-research/conference-coverage/aacap-how-to-identify-and-address-childhood-trauma-in-primary-care-settings" TargetMode="External"/><Relationship Id="rId154" Type="http://schemas.openxmlformats.org/officeDocument/2006/relationships/hyperlink" Target="https://www.stir.ac.uk/" TargetMode="External"/><Relationship Id="rId159" Type="http://schemas.openxmlformats.org/officeDocument/2006/relationships/hyperlink" Target="https://doi.org/10.3390/medicina55100652" TargetMode="External"/><Relationship Id="rId175" Type="http://schemas.openxmlformats.org/officeDocument/2006/relationships/image" Target="media/image43.svg"/><Relationship Id="rId170" Type="http://schemas.openxmlformats.org/officeDocument/2006/relationships/image" Target="media/image38.png"/><Relationship Id="rId16" Type="http://schemas.openxmlformats.org/officeDocument/2006/relationships/header" Target="header2.xml"/><Relationship Id="rId107" Type="http://schemas.openxmlformats.org/officeDocument/2006/relationships/hyperlink" Target="https://midus.colectica.org/item/int.example/fc2e03d6-3f27-4f34-b4dc-3aba3d234d4b" TargetMode="External"/><Relationship Id="rId11" Type="http://schemas.openxmlformats.org/officeDocument/2006/relationships/header" Target="header1.xml"/><Relationship Id="rId32" Type="http://schemas.openxmlformats.org/officeDocument/2006/relationships/hyperlink" Target="https://icd.who.int/browse10/2019/en" TargetMode="External"/><Relationship Id="rId37" Type="http://schemas.openxmlformats.org/officeDocument/2006/relationships/image" Target="media/image5.png"/><Relationship Id="rId53" Type="http://schemas.openxmlformats.org/officeDocument/2006/relationships/hyperlink" Target="https://www.R-project.org" TargetMode="External"/><Relationship Id="rId58" Type="http://schemas.openxmlformats.org/officeDocument/2006/relationships/hyperlink" Target="https://doi.org/10.1038/s41598-023-44874-1" TargetMode="External"/><Relationship Id="rId74" Type="http://schemas.openxmlformats.org/officeDocument/2006/relationships/hyperlink" Target="https://doi.org/10.1038/s41380-021-01188-w" TargetMode="External"/><Relationship Id="rId79" Type="http://schemas.openxmlformats.org/officeDocument/2006/relationships/hyperlink" Target="https://doi.org/10.1038/s41380-021-01188-w" TargetMode="External"/><Relationship Id="rId102" Type="http://schemas.openxmlformats.org/officeDocument/2006/relationships/hyperlink" Target="https://midus.colectica.org/item/int.example/15da3e72-3666-4f80-b359-9c96fb5860ec" TargetMode="External"/><Relationship Id="rId123" Type="http://schemas.openxmlformats.org/officeDocument/2006/relationships/image" Target="media/image16.png"/><Relationship Id="rId128" Type="http://schemas.openxmlformats.org/officeDocument/2006/relationships/hyperlink" Target="https://doi.org/10.1177/105381510702900305" TargetMode="External"/><Relationship Id="rId144" Type="http://schemas.openxmlformats.org/officeDocument/2006/relationships/image" Target="media/image21.jpeg"/><Relationship Id="rId149" Type="http://schemas.openxmlformats.org/officeDocument/2006/relationships/image" Target="media/image26.png"/><Relationship Id="rId5" Type="http://schemas.openxmlformats.org/officeDocument/2006/relationships/numbering" Target="numbering.xml"/><Relationship Id="rId90" Type="http://schemas.openxmlformats.org/officeDocument/2006/relationships/hyperlink" Target="https://doi.org/10.1038/s41386-020-00948-6" TargetMode="External"/><Relationship Id="rId95" Type="http://schemas.openxmlformats.org/officeDocument/2006/relationships/hyperlink" Target="https://midus.colectica.org/item/int.example/db7e92ef-da15-4ec2-b0ca-d6f1d2642d48" TargetMode="External"/><Relationship Id="rId160" Type="http://schemas.openxmlformats.org/officeDocument/2006/relationships/image" Target="media/image28.png"/><Relationship Id="rId165" Type="http://schemas.openxmlformats.org/officeDocument/2006/relationships/image" Target="media/image33.svg"/><Relationship Id="rId181" Type="http://schemas.openxmlformats.org/officeDocument/2006/relationships/image" Target="media/image49.svg"/><Relationship Id="rId186" Type="http://schemas.openxmlformats.org/officeDocument/2006/relationships/fontTable" Target="fontTable.xml"/><Relationship Id="rId22" Type="http://schemas.openxmlformats.org/officeDocument/2006/relationships/hyperlink" Target="https://doi.org/10.1097/PR9.0000000000000839" TargetMode="External"/><Relationship Id="rId27" Type="http://schemas.openxmlformats.org/officeDocument/2006/relationships/hyperlink" Target="https://doi.org/10.1016/j.pain.2013.01.001" TargetMode="External"/><Relationship Id="rId43" Type="http://schemas.openxmlformats.org/officeDocument/2006/relationships/hyperlink" Target="https://doi.org/10.1186/s13643-020-01474-8" TargetMode="External"/><Relationship Id="rId48" Type="http://schemas.openxmlformats.org/officeDocument/2006/relationships/hyperlink" Target="http://dx.doi.org/10.15585/mmwr.mm6844e1" TargetMode="External"/><Relationship Id="rId64" Type="http://schemas.microsoft.com/office/2007/relationships/hdphoto" Target="media/hdphoto2.wdp"/><Relationship Id="rId69" Type="http://schemas.openxmlformats.org/officeDocument/2006/relationships/hyperlink" Target="https://doi.org/10.1097/PSY.0b013e3181d9a104" TargetMode="External"/><Relationship Id="rId113" Type="http://schemas.openxmlformats.org/officeDocument/2006/relationships/hyperlink" Target="https://midus.colectica.org/item/midus.wisc.edu/ed9e76b3-fac6-49c4-a0c9-27e329505955" TargetMode="External"/><Relationship Id="rId118" Type="http://schemas.openxmlformats.org/officeDocument/2006/relationships/hyperlink" Target="https://midus.colectica.org/item/midus.wisc.edu/452749da-37f7-4270-98ec-10648b029f77" TargetMode="External"/><Relationship Id="rId134" Type="http://schemas.openxmlformats.org/officeDocument/2006/relationships/hyperlink" Target="https://doi.org/10.1007/s11606-021-07119-3" TargetMode="External"/><Relationship Id="rId139" Type="http://schemas.openxmlformats.org/officeDocument/2006/relationships/hyperlink" Target="https://jbi-global-wiki.refined.site/space/MANUAL/4685874/Downloadable+PDF+-+current+version?attachment=/rest/api/content/4685874/child/attachment/att4691824/download&amp;type=application/pdf" TargetMode="External"/><Relationship Id="rId80" Type="http://schemas.openxmlformats.org/officeDocument/2006/relationships/hyperlink" Target="https://doi.org/10.1016/j.tins.2016.01.006" TargetMode="External"/><Relationship Id="rId85" Type="http://schemas.openxmlformats.org/officeDocument/2006/relationships/hyperlink" Target="https://doi.org/10.1093/aje/kwx246" TargetMode="External"/><Relationship Id="rId150" Type="http://schemas.openxmlformats.org/officeDocument/2006/relationships/image" Target="media/image27.png"/><Relationship Id="rId155" Type="http://schemas.openxmlformats.org/officeDocument/2006/relationships/hyperlink" Target="https://www.crd.york.ac.uk/prospero/display_record.php?RecordID=257706&amp;VersionID=1548625" TargetMode="External"/><Relationship Id="rId171" Type="http://schemas.openxmlformats.org/officeDocument/2006/relationships/image" Target="media/image39.svg"/><Relationship Id="rId176" Type="http://schemas.openxmlformats.org/officeDocument/2006/relationships/image" Target="media/image44.png"/><Relationship Id="rId12" Type="http://schemas.openxmlformats.org/officeDocument/2006/relationships/footer" Target="footer1.xml"/><Relationship Id="rId17" Type="http://schemas.openxmlformats.org/officeDocument/2006/relationships/footer" Target="footer2.xml"/><Relationship Id="rId33" Type="http://schemas.openxmlformats.org/officeDocument/2006/relationships/hyperlink" Target="https://onlinelibrary.wiley.com/doi/10.1002/ejp.2232" TargetMode="External"/><Relationship Id="rId38" Type="http://schemas.openxmlformats.org/officeDocument/2006/relationships/image" Target="media/image6.jpeg"/><Relationship Id="rId59" Type="http://schemas.openxmlformats.org/officeDocument/2006/relationships/hyperlink" Target="https://www.ukbiobank.ac.uk/media/gnkeyh2q/study-rationale.pdf" TargetMode="External"/><Relationship Id="rId103" Type="http://schemas.openxmlformats.org/officeDocument/2006/relationships/hyperlink" Target="https://midus.colectica.org/item/int.example/be5dd962-86de-40c1-b13b-d56704862794" TargetMode="External"/><Relationship Id="rId108" Type="http://schemas.openxmlformats.org/officeDocument/2006/relationships/hyperlink" Target="https://midus.colectica.org/item/int.example/c2619d04-104f-4ee0-9f1d-1dff133aeb7d" TargetMode="External"/><Relationship Id="rId124" Type="http://schemas.microsoft.com/office/2007/relationships/hdphoto" Target="media/hdphoto4.wdp"/><Relationship Id="rId129" Type="http://schemas.openxmlformats.org/officeDocument/2006/relationships/hyperlink" Target="https://doi.org/10.1207/S15328007SEM0704_3" TargetMode="External"/><Relationship Id="rId54" Type="http://schemas.openxmlformats.org/officeDocument/2006/relationships/hyperlink" Target="http://cccrg.cochrane.org" TargetMode="External"/><Relationship Id="rId70" Type="http://schemas.openxmlformats.org/officeDocument/2006/relationships/hyperlink" Target="https://doi.org/10.3389/fnbeh.2020.601939" TargetMode="External"/><Relationship Id="rId75" Type="http://schemas.openxmlformats.org/officeDocument/2006/relationships/hyperlink" Target="https://doi.org/10.1038/s41380-021-01188-w" TargetMode="External"/><Relationship Id="rId91" Type="http://schemas.openxmlformats.org/officeDocument/2006/relationships/hyperlink" Target="https://doi.org/10.1038/s41398-020-00920-4" TargetMode="External"/><Relationship Id="rId96" Type="http://schemas.openxmlformats.org/officeDocument/2006/relationships/hyperlink" Target="https://midus.colectica.org/item/int.example/4249af34-186e-484f-9276-c0f53fbeab00" TargetMode="External"/><Relationship Id="rId140" Type="http://schemas.openxmlformats.org/officeDocument/2006/relationships/hyperlink" Target="https://jbi-global-wiki.refined.site/space/MANUAL/4685874/Downloadable+PDF+-+current+version?attachment=/rest/api/content/4685874/child/attachment/att4691824/download&amp;type=application/pdf" TargetMode="External"/><Relationship Id="rId145" Type="http://schemas.openxmlformats.org/officeDocument/2006/relationships/image" Target="media/image22.png"/><Relationship Id="rId161" Type="http://schemas.openxmlformats.org/officeDocument/2006/relationships/image" Target="media/image29.svg"/><Relationship Id="rId166" Type="http://schemas.openxmlformats.org/officeDocument/2006/relationships/image" Target="media/image34.png"/><Relationship Id="rId182" Type="http://schemas.openxmlformats.org/officeDocument/2006/relationships/image" Target="media/image50.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dx.doi.org/10.1590/1806&#8208;9282.65.9.1174" TargetMode="External"/><Relationship Id="rId28" Type="http://schemas.openxmlformats.org/officeDocument/2006/relationships/hyperlink" Target="https://doi.org/10.1038/s41386-020-0655-6" TargetMode="External"/><Relationship Id="rId49" Type="http://schemas.openxmlformats.org/officeDocument/2006/relationships/hyperlink" Target="https://doi.org/10.1016/j.pain.2013.01.001" TargetMode="External"/><Relationship Id="rId114" Type="http://schemas.openxmlformats.org/officeDocument/2006/relationships/hyperlink" Target="https://midus.colectica.org/item/midus.wisc.edu/231b373c-1567-4e86-b5ff-7d37af893e86" TargetMode="External"/><Relationship Id="rId119" Type="http://schemas.openxmlformats.org/officeDocument/2006/relationships/image" Target="media/image14.png"/><Relationship Id="rId44" Type="http://schemas.openxmlformats.org/officeDocument/2006/relationships/hyperlink" Target="https://www.cdc.gov/violenceprevention/aces/index.html" TargetMode="External"/><Relationship Id="rId60" Type="http://schemas.openxmlformats.org/officeDocument/2006/relationships/hyperlink" Target="https://www.ukbiobank.ac.uk/media/gnkeyh2q/study-rationale.pdf" TargetMode="External"/><Relationship Id="rId65" Type="http://schemas.openxmlformats.org/officeDocument/2006/relationships/hyperlink" Target="https://doi.org/10.31887/DCNS.2006.8.4/jbremner" TargetMode="External"/><Relationship Id="rId81" Type="http://schemas.openxmlformats.org/officeDocument/2006/relationships/hyperlink" Target="https://doi.org/10.1016/j.tins.2016.01.006" TargetMode="External"/><Relationship Id="rId86" Type="http://schemas.openxmlformats.org/officeDocument/2006/relationships/hyperlink" Target="https://discover.ukdataservice.ac.uk/doi/2001-census-aggregate" TargetMode="External"/><Relationship Id="rId130" Type="http://schemas.openxmlformats.org/officeDocument/2006/relationships/hyperlink" Target="file:///C:\Users\Danielle\Documents\Stirling\Dissertation\R%20Core%20Team.%20R:%20A%20Language%20and%20Environment%20for%20Statistical%20Computing.%20Vienna,%20Austria:%20R%20Foundation%20for%20Statistical%20Computing;%202021.%20Available%20from:%20https:\www.R-project.org" TargetMode="External"/><Relationship Id="rId135" Type="http://schemas.openxmlformats.org/officeDocument/2006/relationships/hyperlink" Target="https://www.jrf.org.uk/uk-poverty-2024-the-essential-guide-to-understanding-poverty-in-the-uk" TargetMode="External"/><Relationship Id="rId151" Type="http://schemas.microsoft.com/office/2007/relationships/hdphoto" Target="media/hdphoto5.wdp"/><Relationship Id="rId156" Type="http://schemas.openxmlformats.org/officeDocument/2006/relationships/hyperlink" Target="https://spark.stir.ac.uk/issues/issue-8/issue-8-anxiety-dalechek/" TargetMode="External"/><Relationship Id="rId177" Type="http://schemas.openxmlformats.org/officeDocument/2006/relationships/image" Target="media/image45.svg"/><Relationship Id="rId172" Type="http://schemas.openxmlformats.org/officeDocument/2006/relationships/image" Target="media/image40.png"/><Relationship Id="rId13" Type="http://schemas.openxmlformats.org/officeDocument/2006/relationships/hyperlink" Target="https://doi.org/10.17605/OSF.IO/3BKYC" TargetMode="External"/><Relationship Id="rId18" Type="http://schemas.openxmlformats.org/officeDocument/2006/relationships/image" Target="media/image3.png"/><Relationship Id="rId39" Type="http://schemas.openxmlformats.org/officeDocument/2006/relationships/image" Target="media/image7.png"/><Relationship Id="rId109" Type="http://schemas.openxmlformats.org/officeDocument/2006/relationships/hyperlink" Target="https://midus.colectica.org/item/int.example/4c76ebed-69b6-4821-982b-b76c124cda62" TargetMode="External"/><Relationship Id="rId34" Type="http://schemas.openxmlformats.org/officeDocument/2006/relationships/hyperlink" Target="https://www.crd.york.ac.uk/prospero/display_record.php?ID=CRD42021257706" TargetMode="External"/><Relationship Id="rId50" Type="http://schemas.openxmlformats.org/officeDocument/2006/relationships/hyperlink" Target="https://www.ncsl.org/research/health/adverse-childhood-experiences-aces.aspx" TargetMode="External"/><Relationship Id="rId55" Type="http://schemas.openxmlformats.org/officeDocument/2006/relationships/hyperlink" Target="https://pro.psycom.net/news-research/conference-coverage/aacap-how-to-identify-and-address-childhood-trauma-in-primary-care-settings" TargetMode="External"/><Relationship Id="rId76" Type="http://schemas.openxmlformats.org/officeDocument/2006/relationships/hyperlink" Target="https://doi.org/10.1038/s41380-021-01188-w" TargetMode="External"/><Relationship Id="rId97" Type="http://schemas.openxmlformats.org/officeDocument/2006/relationships/hyperlink" Target="https://midus.colectica.org/item/int.example/02f0a320-37c0-47c2-b698-9b01bdc2b119" TargetMode="External"/><Relationship Id="rId104" Type="http://schemas.openxmlformats.org/officeDocument/2006/relationships/hyperlink" Target="https://midus.colectica.org/item/int.example/f4e3a661-6ad0-4127-9e6a-be05f17208c5" TargetMode="External"/><Relationship Id="rId120" Type="http://schemas.microsoft.com/office/2007/relationships/hdphoto" Target="media/hdphoto3.wdp"/><Relationship Id="rId125" Type="http://schemas.openxmlformats.org/officeDocument/2006/relationships/image" Target="media/image17.png"/><Relationship Id="rId141" Type="http://schemas.openxmlformats.org/officeDocument/2006/relationships/image" Target="media/image19.emf"/><Relationship Id="rId146" Type="http://schemas.openxmlformats.org/officeDocument/2006/relationships/image" Target="media/image23.png"/><Relationship Id="rId167" Type="http://schemas.openxmlformats.org/officeDocument/2006/relationships/image" Target="media/image35.svg"/><Relationship Id="rId7" Type="http://schemas.openxmlformats.org/officeDocument/2006/relationships/settings" Target="settings.xml"/><Relationship Id="rId71" Type="http://schemas.openxmlformats.org/officeDocument/2006/relationships/hyperlink" Target="https://doi.org/10.1056/NEJM199505183322008" TargetMode="External"/><Relationship Id="rId92" Type="http://schemas.openxmlformats.org/officeDocument/2006/relationships/hyperlink" Target="https://doi.org/10.1016/j.bbi.2021.09.001" TargetMode="External"/><Relationship Id="rId162" Type="http://schemas.openxmlformats.org/officeDocument/2006/relationships/image" Target="media/image30.png"/><Relationship Id="rId183" Type="http://schemas.openxmlformats.org/officeDocument/2006/relationships/image" Target="media/image51.svg"/><Relationship Id="rId2" Type="http://schemas.openxmlformats.org/officeDocument/2006/relationships/customXml" Target="../customXml/item2.xml"/><Relationship Id="rId29" Type="http://schemas.openxmlformats.org/officeDocument/2006/relationships/hyperlink" Target="https://www.ncsl.org/research/health/adverse-childhood-experiences-aces.aspx" TargetMode="External"/><Relationship Id="rId24" Type="http://schemas.openxmlformats.org/officeDocument/2006/relationships/hyperlink" Target="https://www.health.harvard.edu/heart-health/c-reactive-protein-test-to-screen-for-heart-disease" TargetMode="External"/><Relationship Id="rId40" Type="http://schemas.openxmlformats.org/officeDocument/2006/relationships/image" Target="media/image8.png"/><Relationship Id="rId45" Type="http://schemas.openxmlformats.org/officeDocument/2006/relationships/hyperlink" Target="https://doi.org/10.1177/1529100617727266" TargetMode="External"/><Relationship Id="rId66" Type="http://schemas.openxmlformats.org/officeDocument/2006/relationships/hyperlink" Target="https://doi.org/10.31887/DCNS.2006.8.4/jbremner" TargetMode="External"/><Relationship Id="rId87" Type="http://schemas.openxmlformats.org/officeDocument/2006/relationships/hyperlink" Target="https://doi.org/10.1007/s00127-022-02277-z" TargetMode="External"/><Relationship Id="rId110" Type="http://schemas.openxmlformats.org/officeDocument/2006/relationships/hyperlink" Target="https://midus.colectica.org/item/midus.wisc.edu/9c13e41a-ed1c-4d22-8db5-84bb508423da" TargetMode="External"/><Relationship Id="rId115" Type="http://schemas.openxmlformats.org/officeDocument/2006/relationships/hyperlink" Target="https://midus.colectica.org/item/midus.wisc.edu/c4a824f4-4025-48a6-b8b6-51d6a83a2f3f" TargetMode="External"/><Relationship Id="rId131" Type="http://schemas.openxmlformats.org/officeDocument/2006/relationships/hyperlink" Target="https://doi.org/10.1177/15248380231205821" TargetMode="External"/><Relationship Id="rId136" Type="http://schemas.openxmlformats.org/officeDocument/2006/relationships/hyperlink" Target="https://confrontingpoverty.org/poverty-facts-and-myths/americas-poor-are-worse-off-than-elsewhere" TargetMode="External"/><Relationship Id="rId157" Type="http://schemas.openxmlformats.org/officeDocument/2006/relationships/hyperlink" Target="https://dx.doi.org/10.1590/1806-9282.65.9.1174" TargetMode="External"/><Relationship Id="rId178" Type="http://schemas.openxmlformats.org/officeDocument/2006/relationships/image" Target="media/image46.png"/><Relationship Id="rId61" Type="http://schemas.openxmlformats.org/officeDocument/2006/relationships/image" Target="media/image10.jpeg"/><Relationship Id="rId82" Type="http://schemas.openxmlformats.org/officeDocument/2006/relationships/hyperlink" Target="https://doi.org/10.1111/tsq.12107" TargetMode="External"/><Relationship Id="rId152" Type="http://schemas.openxmlformats.org/officeDocument/2006/relationships/hyperlink" Target="https://www.crd.york.ac.uk/prospero/display_record.php?ID=CRD42021257706" TargetMode="External"/><Relationship Id="rId173" Type="http://schemas.openxmlformats.org/officeDocument/2006/relationships/image" Target="media/image41.svg"/><Relationship Id="rId19" Type="http://schemas.microsoft.com/office/2007/relationships/hdphoto" Target="media/hdphoto1.wdp"/><Relationship Id="rId14" Type="http://schemas.openxmlformats.org/officeDocument/2006/relationships/hyperlink" Target="https://psychosomatic.org/wp-content/uploads/2023/03/APS-2023-Abstract-Book.pdf" TargetMode="External"/><Relationship Id="rId30" Type="http://schemas.openxmlformats.org/officeDocument/2006/relationships/hyperlink" Target="https://www.ncbi.nlm.nih.gov/books/NBK458661/" TargetMode="External"/><Relationship Id="rId35" Type="http://schemas.openxmlformats.org/officeDocument/2006/relationships/image" Target="media/image4.png"/><Relationship Id="rId56" Type="http://schemas.openxmlformats.org/officeDocument/2006/relationships/hyperlink" Target="https://jbi.global/critical-appraisal-tools" TargetMode="External"/><Relationship Id="rId77" Type="http://schemas.openxmlformats.org/officeDocument/2006/relationships/hyperlink" Target="https://doi.org/10.1038/s41380-021-01188-w" TargetMode="External"/><Relationship Id="rId100" Type="http://schemas.openxmlformats.org/officeDocument/2006/relationships/hyperlink" Target="https://midus.colectica.org/item/int.example/f9fb8d70-31b5-4edb-97a6-a82a9fe5a1ff" TargetMode="External"/><Relationship Id="rId105" Type="http://schemas.openxmlformats.org/officeDocument/2006/relationships/hyperlink" Target="https://midus.colectica.org/item/midus.wisc.edu/891c098b-49cb-455f-9e82-57b710404f8e" TargetMode="External"/><Relationship Id="rId126" Type="http://schemas.openxmlformats.org/officeDocument/2006/relationships/image" Target="media/image18.jpeg"/><Relationship Id="rId147" Type="http://schemas.openxmlformats.org/officeDocument/2006/relationships/image" Target="media/image24.png"/><Relationship Id="rId168" Type="http://schemas.openxmlformats.org/officeDocument/2006/relationships/image" Target="media/image36.png"/><Relationship Id="rId8" Type="http://schemas.openxmlformats.org/officeDocument/2006/relationships/webSettings" Target="webSettings.xml"/><Relationship Id="rId51" Type="http://schemas.openxmlformats.org/officeDocument/2006/relationships/hyperlink" Target="https://www.nhlbi.nih.gov/health-topics/study-quality-assessment-tools" TargetMode="External"/><Relationship Id="rId72" Type="http://schemas.openxmlformats.org/officeDocument/2006/relationships/hyperlink" Target="https://doi.org/10.1016/j.csbj.2020.02.018" TargetMode="External"/><Relationship Id="rId93" Type="http://schemas.openxmlformats.org/officeDocument/2006/relationships/image" Target="media/image13.png"/><Relationship Id="rId98" Type="http://schemas.openxmlformats.org/officeDocument/2006/relationships/hyperlink" Target="https://midus.colectica.org/item/int.example/be59d58c-4164-4d6e-a493-4537b31a0445" TargetMode="External"/><Relationship Id="rId121" Type="http://schemas.openxmlformats.org/officeDocument/2006/relationships/image" Target="media/image15.png"/><Relationship Id="rId142" Type="http://schemas.openxmlformats.org/officeDocument/2006/relationships/package" Target="embeddings/Microsoft_Excel_Worksheet.xlsx"/><Relationship Id="rId163" Type="http://schemas.openxmlformats.org/officeDocument/2006/relationships/image" Target="media/image31.svg"/><Relationship Id="rId184" Type="http://schemas.openxmlformats.org/officeDocument/2006/relationships/image" Target="media/image52.png"/><Relationship Id="rId3" Type="http://schemas.openxmlformats.org/officeDocument/2006/relationships/customXml" Target="../customXml/item3.xml"/><Relationship Id="rId25" Type="http://schemas.openxmlformats.org/officeDocument/2006/relationships/hyperlink" Target="http://dx.doi.org/10.15585/mmwr.mm6844e1" TargetMode="External"/><Relationship Id="rId46" Type="http://schemas.openxmlformats.org/officeDocument/2006/relationships/hyperlink" Target="https://casp-uk.net/casp-tools-checklists" TargetMode="External"/><Relationship Id="rId67" Type="http://schemas.openxmlformats.org/officeDocument/2006/relationships/hyperlink" Target="https://doi.org/10.1016/j.pain.2013.01.001" TargetMode="External"/><Relationship Id="rId116" Type="http://schemas.openxmlformats.org/officeDocument/2006/relationships/hyperlink" Target="https://midus.colectica.org/item/midus.wisc.edu/3feab007-5a82-4887-a215-5422d8fffa60" TargetMode="External"/><Relationship Id="rId137" Type="http://schemas.openxmlformats.org/officeDocument/2006/relationships/hyperlink" Target="https://doi.org/10.1177/15248380231205821" TargetMode="External"/><Relationship Id="rId158" Type="http://schemas.openxmlformats.org/officeDocument/2006/relationships/hyperlink" Target="https://doi.org/10.1177%2F0956797614563339" TargetMode="External"/><Relationship Id="rId20" Type="http://schemas.openxmlformats.org/officeDocument/2006/relationships/hyperlink" Target="https://www.cdc.gov/violenceprevention/aces/index.html" TargetMode="External"/><Relationship Id="rId41" Type="http://schemas.openxmlformats.org/officeDocument/2006/relationships/image" Target="media/image9.png"/><Relationship Id="rId62" Type="http://schemas.openxmlformats.org/officeDocument/2006/relationships/image" Target="media/image11.jpeg"/><Relationship Id="rId83" Type="http://schemas.openxmlformats.org/officeDocument/2006/relationships/hyperlink" Target="https://doi.org/10.1016/j.patter.2022.100570" TargetMode="External"/><Relationship Id="rId88" Type="http://schemas.openxmlformats.org/officeDocument/2006/relationships/hyperlink" Target="https://doi.org/10.1007/s00127-022-02277-z" TargetMode="External"/><Relationship Id="rId111" Type="http://schemas.openxmlformats.org/officeDocument/2006/relationships/hyperlink" Target="https://midus.colectica.org/item/midus.wisc.edu/5a6c33bb-6078-4f73-825c-5b41a4a13065" TargetMode="External"/><Relationship Id="rId132" Type="http://schemas.openxmlformats.org/officeDocument/2006/relationships/hyperlink" Target="https://doi.org/10.18637/jss.v048.i02" TargetMode="External"/><Relationship Id="rId153" Type="http://schemas.openxmlformats.org/officeDocument/2006/relationships/hyperlink" Target="https://www.crd.york.ac.uk/prospero/display_record.php?ID=CRD42021257706" TargetMode="External"/><Relationship Id="rId174" Type="http://schemas.openxmlformats.org/officeDocument/2006/relationships/image" Target="media/image42.png"/><Relationship Id="rId179" Type="http://schemas.openxmlformats.org/officeDocument/2006/relationships/image" Target="media/image47.svg"/><Relationship Id="rId15" Type="http://schemas.openxmlformats.org/officeDocument/2006/relationships/hyperlink" Target="https://www.crd.york.ac.uk/prospero/display_record.php?ID=CRD42021257706" TargetMode="External"/><Relationship Id="rId36" Type="http://schemas.openxmlformats.org/officeDocument/2006/relationships/footer" Target="footer3.xml"/><Relationship Id="rId57" Type="http://schemas.openxmlformats.org/officeDocument/2006/relationships/hyperlink" Target="https://resourcecentre.savethechildren.net/document/preventing-child-maltreatment-guide-taking-action-and-generating-evidence" TargetMode="External"/><Relationship Id="rId106" Type="http://schemas.openxmlformats.org/officeDocument/2006/relationships/hyperlink" Target="https://midus.colectica.org/item/midus.wisc.edu/601fbd4f-32d7-4adb-8023-e820224840b7" TargetMode="External"/><Relationship Id="rId127" Type="http://schemas.openxmlformats.org/officeDocument/2006/relationships/hyperlink" Target="https://doi.org/10.3102/1076998607306151" TargetMode="External"/><Relationship Id="rId10" Type="http://schemas.openxmlformats.org/officeDocument/2006/relationships/endnotes" Target="endnotes.xml"/><Relationship Id="rId31" Type="http://schemas.openxmlformats.org/officeDocument/2006/relationships/hyperlink" Target="https://doi.org/10.3390/medicina55100652" TargetMode="External"/><Relationship Id="rId52" Type="http://schemas.openxmlformats.org/officeDocument/2006/relationships/hyperlink" Target="https://www.ncbi.nlm.nih.gov/books/NBK458661/" TargetMode="External"/><Relationship Id="rId73" Type="http://schemas.openxmlformats.org/officeDocument/2006/relationships/hyperlink" Target="https://doi.org/10.1038/s41380-021-01188-w" TargetMode="External"/><Relationship Id="rId78" Type="http://schemas.openxmlformats.org/officeDocument/2006/relationships/hyperlink" Target="https://doi.org/10.1038/s41380-021-01188-w" TargetMode="External"/><Relationship Id="rId94" Type="http://schemas.openxmlformats.org/officeDocument/2006/relationships/hyperlink" Target="http://www.icpsr.umich.edu" TargetMode="External"/><Relationship Id="rId99" Type="http://schemas.openxmlformats.org/officeDocument/2006/relationships/hyperlink" Target="https://midus.colectica.org/item/int.example/c73815aa-28ef-467d-9a18-94ea56c71593" TargetMode="External"/><Relationship Id="rId101" Type="http://schemas.openxmlformats.org/officeDocument/2006/relationships/hyperlink" Target="https://midus.colectica.org/item/int.example/9f8db3c1-4bcc-4bb7-8397-1b1719c1079e" TargetMode="External"/><Relationship Id="rId122" Type="http://schemas.openxmlformats.org/officeDocument/2006/relationships/hyperlink" Target="https://cran.r-project.org/web/packages/MVN/vignettes/MVN.html" TargetMode="External"/><Relationship Id="rId143" Type="http://schemas.openxmlformats.org/officeDocument/2006/relationships/image" Target="media/image20.gif"/><Relationship Id="rId148" Type="http://schemas.openxmlformats.org/officeDocument/2006/relationships/image" Target="media/image25.png"/><Relationship Id="rId164" Type="http://schemas.openxmlformats.org/officeDocument/2006/relationships/image" Target="media/image32.png"/><Relationship Id="rId169" Type="http://schemas.openxmlformats.org/officeDocument/2006/relationships/image" Target="media/image37.svg"/><Relationship Id="rId185" Type="http://schemas.openxmlformats.org/officeDocument/2006/relationships/image" Target="media/image53.sv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48.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e4eaad7-78cd-4b26-beef-dd432fefae5d">
      <Terms xmlns="http://schemas.microsoft.com/office/infopath/2007/PartnerControls"/>
    </lcf76f155ced4ddcb4097134ff3c332f>
    <TaxCatchAll xmlns="ca20396c-df9a-4d22-9e41-6b3772298ea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02C98BD4EC64F4793D9E81D785ED048" ma:contentTypeVersion="15" ma:contentTypeDescription="Create a new document." ma:contentTypeScope="" ma:versionID="53d46bf4b35b0c33e06515ae25b771be">
  <xsd:schema xmlns:xsd="http://www.w3.org/2001/XMLSchema" xmlns:xs="http://www.w3.org/2001/XMLSchema" xmlns:p="http://schemas.microsoft.com/office/2006/metadata/properties" xmlns:ns2="fe4eaad7-78cd-4b26-beef-dd432fefae5d" xmlns:ns3="ca20396c-df9a-4d22-9e41-6b3772298ea7" targetNamespace="http://schemas.microsoft.com/office/2006/metadata/properties" ma:root="true" ma:fieldsID="80ac98500cd687bed3bec1659e3022d2" ns2:_="" ns3:_="">
    <xsd:import namespace="fe4eaad7-78cd-4b26-beef-dd432fefae5d"/>
    <xsd:import namespace="ca20396c-df9a-4d22-9e41-6b3772298ea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ObjectDetectorVersion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4eaad7-78cd-4b26-beef-dd432fefae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701f896-1688-46c9-9388-f01866670b49" ma:termSetId="09814cd3-568e-fe90-9814-8d621ff8fb84" ma:anchorId="fba54fb3-c3e1-fe81-a776-ca4b69148c4d" ma:open="true" ma:isKeyword="false">
      <xsd:complexType>
        <xsd:sequence>
          <xsd:element ref="pc:Terms" minOccurs="0" maxOccurs="1"/>
        </xsd:sequence>
      </xsd:complex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a20396c-df9a-4d22-9e41-6b3772298ea7"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92454c3-2e4d-4d42-afc8-43bccab82969}" ma:internalName="TaxCatchAll" ma:showField="CatchAllData" ma:web="ca20396c-df9a-4d22-9e41-6b3772298e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6B321BB-EA78-416B-B8E3-68EF9DB2CFB5}">
  <ds:schemaRefs>
    <ds:schemaRef ds:uri="http://schemas.microsoft.com/office/2006/metadata/properties"/>
    <ds:schemaRef ds:uri="http://schemas.microsoft.com/office/infopath/2007/PartnerControls"/>
    <ds:schemaRef ds:uri="fe4eaad7-78cd-4b26-beef-dd432fefae5d"/>
    <ds:schemaRef ds:uri="ca20396c-df9a-4d22-9e41-6b3772298ea7"/>
  </ds:schemaRefs>
</ds:datastoreItem>
</file>

<file path=customXml/itemProps2.xml><?xml version="1.0" encoding="utf-8"?>
<ds:datastoreItem xmlns:ds="http://schemas.openxmlformats.org/officeDocument/2006/customXml" ds:itemID="{3ADE2661-C089-4DC6-AA3C-653CE8B967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4eaad7-78cd-4b26-beef-dd432fefae5d"/>
    <ds:schemaRef ds:uri="ca20396c-df9a-4d22-9e41-6b3772298e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AAD3D46-2ED6-4A57-8CAF-2CDD5E4D7A37}">
  <ds:schemaRefs>
    <ds:schemaRef ds:uri="http://schemas.openxmlformats.org/officeDocument/2006/bibliography"/>
  </ds:schemaRefs>
</ds:datastoreItem>
</file>

<file path=customXml/itemProps4.xml><?xml version="1.0" encoding="utf-8"?>
<ds:datastoreItem xmlns:ds="http://schemas.openxmlformats.org/officeDocument/2006/customXml" ds:itemID="{6F794EFB-E61B-47AB-BE10-EAA4B738A8F0}">
  <ds:schemaRefs>
    <ds:schemaRef ds:uri="http://schemas.microsoft.com/sharepoint/v3/contenttype/forms"/>
  </ds:schemaRefs>
</ds:datastoreItem>
</file>

<file path=docMetadata/LabelInfo.xml><?xml version="1.0" encoding="utf-8"?>
<clbl:labelList xmlns:clbl="http://schemas.microsoft.com/office/2020/mipLabelMetadata">
  <clbl:label id="{d6fa6db5-9f3a-4c93-9e38-61059ee07e95}" enabled="1" method="Standard" siteId="{4e8d09f7-cc79-4ccb-9149-a4238dd17422}" removed="0"/>
</clbl:labelList>
</file>

<file path=docProps/app.xml><?xml version="1.0" encoding="utf-8"?>
<Properties xmlns="http://schemas.openxmlformats.org/officeDocument/2006/extended-properties" xmlns:vt="http://schemas.openxmlformats.org/officeDocument/2006/docPropsVTypes">
  <Template>Normal</Template>
  <TotalTime>16</TotalTime>
  <Pages>262</Pages>
  <Words>57732</Words>
  <Characters>329076</Characters>
  <Application>Microsoft Office Word</Application>
  <DocSecurity>0</DocSecurity>
  <Lines>2742</Lines>
  <Paragraphs>772</Paragraphs>
  <ScaleCrop>false</ScaleCrop>
  <Company>UCI Libraries</Company>
  <LinksUpToDate>false</LinksUpToDate>
  <CharactersWithSpaces>386036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UCI Libraries</dc:creator>
  <cp:keywords/>
  <dc:description/>
  <cp:lastModifiedBy>Danielle Dalechek</cp:lastModifiedBy>
  <cp:revision>4</cp:revision>
  <dcterms:created xsi:type="dcterms:W3CDTF">2024-11-01T21:13:00Z</dcterms:created>
  <dcterms:modified xsi:type="dcterms:W3CDTF">2024-11-07T16:31:00Z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0x010100C02C98BD4EC64F4793D9E81D785ED048</vt:lpwstr>
  </property>
  <property fmtid="{D5CDD505-2E9C-101B-9397-08002B2CF9AE}" pid="3" name="MediaServiceImageTags">
    <vt:lpwstr/>
  </property>
</Properties>
</file>